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476FE" w14:textId="7C75DA18" w:rsidR="004E5575" w:rsidRPr="004E5575" w:rsidRDefault="00321B49" w:rsidP="0041052B">
      <w:pPr>
        <w:pStyle w:val="Tytu"/>
        <w:jc w:val="both"/>
      </w:pPr>
      <w:r>
        <w:rPr>
          <w:noProof/>
          <w:lang w:val="pl-PL"/>
        </w:rPr>
        <w:drawing>
          <wp:anchor distT="0" distB="0" distL="114300" distR="114300" simplePos="0" relativeHeight="251659264" behindDoc="0" locked="0" layoutInCell="1" allowOverlap="1" wp14:anchorId="168BDC1E" wp14:editId="2980687E">
            <wp:simplePos x="0" y="0"/>
            <wp:positionH relativeFrom="page">
              <wp:align>right</wp:align>
            </wp:positionH>
            <wp:positionV relativeFrom="page">
              <wp:align>top</wp:align>
            </wp:positionV>
            <wp:extent cx="7560402" cy="2524760"/>
            <wp:effectExtent l="0" t="0" r="2540" b="8890"/>
            <wp:wrapSquare wrapText="bothSides"/>
            <wp:docPr id="6" name="Zdjęci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dpb_header_statem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402" cy="2524760"/>
                    </a:xfrm>
                    <a:prstGeom prst="rect">
                      <a:avLst/>
                    </a:prstGeom>
                  </pic:spPr>
                </pic:pic>
              </a:graphicData>
            </a:graphic>
            <wp14:sizeRelH relativeFrom="margin">
              <wp14:pctWidth>0</wp14:pctWidth>
            </wp14:sizeRelH>
            <wp14:sizeRelV relativeFrom="margin">
              <wp14:pctHeight>0</wp14:pctHeight>
            </wp14:sizeRelV>
          </wp:anchor>
        </w:drawing>
      </w:r>
      <w:bookmarkStart w:id="0" w:name="_Hlk190344044"/>
    </w:p>
    <w:p w14:paraId="4B77626C" w14:textId="3DE15060" w:rsidR="004E5575" w:rsidRDefault="004E5575" w:rsidP="003544F2">
      <w:pPr>
        <w:pStyle w:val="CoverPageTitle"/>
        <w:spacing w:after="0"/>
      </w:pPr>
      <w:r>
        <w:t>Oświadczenie 1/2025 w sprawie zapewnienia wieku</w:t>
      </w:r>
    </w:p>
    <w:p w14:paraId="7FE48B78" w14:textId="2884685A" w:rsidR="00321B49" w:rsidRDefault="004E5575" w:rsidP="003544F2">
      <w:pPr>
        <w:pStyle w:val="CoverPageTitle"/>
        <w:spacing w:after="0"/>
      </w:pPr>
      <w:r>
        <w:t>Przyjęte w dniu 11 lutego 2025 r.</w:t>
      </w:r>
      <w:r w:rsidR="008226EE">
        <w:rPr>
          <w:rStyle w:val="Odwoanieprzypisudolnego"/>
        </w:rPr>
        <w:footnoteReference w:id="2"/>
      </w:r>
    </w:p>
    <w:p w14:paraId="43B53A59" w14:textId="77777777" w:rsidR="004E5575" w:rsidRPr="004E5575" w:rsidRDefault="004E5575" w:rsidP="003544F2">
      <w:pPr>
        <w:spacing w:after="0"/>
      </w:pPr>
    </w:p>
    <w:p w14:paraId="35545748" w14:textId="52361586" w:rsidR="00F72433" w:rsidRDefault="008C123E" w:rsidP="003544F2">
      <w:pPr>
        <w:pStyle w:val="PreambuleTheEDPB"/>
        <w:spacing w:before="240" w:after="0" w:line="240" w:lineRule="auto"/>
      </w:pPr>
      <w:r>
        <w:t>Europejska Rada Ochrony Danych przyjęła następujące oświadczenie:</w:t>
      </w:r>
    </w:p>
    <w:p w14:paraId="4C4471EC" w14:textId="77777777" w:rsidR="00B12BB0" w:rsidRDefault="00B12BB0" w:rsidP="00B12BB0">
      <w:pPr>
        <w:pStyle w:val="Nagwek1"/>
        <w:numPr>
          <w:ilvl w:val="0"/>
          <w:numId w:val="0"/>
        </w:numPr>
        <w:spacing w:before="0" w:after="0" w:line="240" w:lineRule="auto"/>
        <w:ind w:left="432" w:hanging="432"/>
        <w:jc w:val="both"/>
      </w:pPr>
      <w:bookmarkStart w:id="1" w:name="_Toc73358785"/>
    </w:p>
    <w:p w14:paraId="244C99C7" w14:textId="403BAC0E" w:rsidR="00EE528A" w:rsidRDefault="008C123E" w:rsidP="00B12BB0">
      <w:pPr>
        <w:pStyle w:val="Nagwek1"/>
        <w:numPr>
          <w:ilvl w:val="0"/>
          <w:numId w:val="0"/>
        </w:numPr>
        <w:spacing w:before="0" w:after="0" w:line="240" w:lineRule="auto"/>
        <w:ind w:left="432" w:hanging="432"/>
        <w:jc w:val="both"/>
      </w:pPr>
      <w:r>
        <w:t xml:space="preserve">1 </w:t>
      </w:r>
      <w:r w:rsidR="00771272">
        <w:t>kontekst</w:t>
      </w:r>
      <w:r>
        <w:t xml:space="preserve"> I CEL NINIEJSZEGO OŚWIADCZENIA</w:t>
      </w:r>
    </w:p>
    <w:p w14:paraId="248503AB" w14:textId="77777777" w:rsidR="00EE528A" w:rsidRPr="00EE528A" w:rsidRDefault="00EE528A" w:rsidP="003544F2">
      <w:pPr>
        <w:spacing w:after="0" w:line="240" w:lineRule="auto"/>
      </w:pPr>
    </w:p>
    <w:p w14:paraId="0D1AD955" w14:textId="0E05AD73" w:rsidR="001C3C4D" w:rsidRDefault="008C123E" w:rsidP="005C604F">
      <w:pPr>
        <w:pStyle w:val="Akapitzlist"/>
        <w:numPr>
          <w:ilvl w:val="0"/>
          <w:numId w:val="7"/>
        </w:numPr>
        <w:spacing w:after="0" w:line="240" w:lineRule="auto"/>
        <w:ind w:left="-3"/>
        <w:jc w:val="both"/>
        <w:rPr>
          <w:rFonts w:ascii="Calibri" w:eastAsia="Calibri" w:hAnsi="Calibri" w:cs="Calibri"/>
        </w:rPr>
      </w:pPr>
      <w:r>
        <w:t xml:space="preserve">Europejskie ramy regulacyjne </w:t>
      </w:r>
      <w:r>
        <w:rPr>
          <w:rFonts w:ascii="Calibri" w:eastAsia="Calibri" w:hAnsi="Calibri" w:cs="Calibri"/>
        </w:rPr>
        <w:t>wzywają do zwiększenia ochrony dzieci w środowisku cyfrowym. Na przykład w dyrektywie o audiowizualnych usługach medialnych</w:t>
      </w:r>
      <w:r>
        <w:rPr>
          <w:rStyle w:val="Odwoanieprzypisudolnego"/>
          <w:rFonts w:ascii="Calibri" w:eastAsia="Calibri" w:hAnsi="Calibri" w:cs="Calibri"/>
        </w:rPr>
        <w:footnoteReference w:id="3"/>
      </w:r>
      <w:r>
        <w:rPr>
          <w:rFonts w:ascii="Calibri" w:eastAsia="Calibri" w:hAnsi="Calibri" w:cs="Calibri"/>
        </w:rPr>
        <w:t>, którą państwa członkowskie transponowały do swoich przepisów krajowych, podkreślono możliwość wdrożenia środków weryfikacji wieku (art. 6a i 28b), w RODO wprowadzono wymogi dotyczące minimalnego wieku do celów wyrażenia zgody na przetwarzanie danych osobowych w kontekście usług społeczeństwa informacyjnego (art. 8), w akcie o usługach cyfrowych</w:t>
      </w:r>
      <w:r>
        <w:rPr>
          <w:rStyle w:val="Odwoanieprzypisudolnego"/>
          <w:rFonts w:ascii="Calibri" w:eastAsia="Calibri" w:hAnsi="Calibri" w:cs="Calibri"/>
        </w:rPr>
        <w:footnoteReference w:id="4"/>
      </w:r>
      <w:r>
        <w:rPr>
          <w:rFonts w:ascii="Calibri" w:eastAsia="Calibri" w:hAnsi="Calibri" w:cs="Calibri"/>
        </w:rPr>
        <w:t xml:space="preserve"> odniesiono się do weryfikacji wieku jako środka zmniejszającego ryzyko (art. 35 ust. 1), a szereg państw członkowskich wdrożyło wymogi dotyczące minimalnego wieku do celów dokonywania czynności prawnych, wykonywania niektórych praw lub dostępu do niektórych towarów i usług do swoich własnych przepisów krajowych. </w:t>
      </w:r>
    </w:p>
    <w:p w14:paraId="0ADBCF13" w14:textId="77777777" w:rsidR="001C3C4D" w:rsidRPr="001C3C4D" w:rsidRDefault="001C3C4D" w:rsidP="003544F2">
      <w:pPr>
        <w:spacing w:after="0" w:line="240" w:lineRule="auto"/>
        <w:jc w:val="both"/>
        <w:rPr>
          <w:rFonts w:ascii="Calibri" w:eastAsia="Calibri" w:hAnsi="Calibri" w:cs="Calibri"/>
        </w:rPr>
      </w:pPr>
    </w:p>
    <w:p w14:paraId="3B8E9D40" w14:textId="526A1E8A" w:rsidR="00F72433" w:rsidRDefault="008C123E" w:rsidP="005C604F">
      <w:pPr>
        <w:pStyle w:val="Akapitzlist"/>
        <w:numPr>
          <w:ilvl w:val="0"/>
          <w:numId w:val="7"/>
        </w:numPr>
        <w:spacing w:after="0" w:line="240" w:lineRule="auto"/>
        <w:ind w:left="-3"/>
        <w:jc w:val="both"/>
      </w:pPr>
      <w:r>
        <w:t xml:space="preserve">Ponadto różne inicjatywy krajowe i europejskie, takie jak „Lepszy </w:t>
      </w:r>
      <w:proofErr w:type="spellStart"/>
      <w:r>
        <w:t>internet</w:t>
      </w:r>
      <w:proofErr w:type="spellEnd"/>
      <w:r>
        <w:t xml:space="preserve"> dla dzieci” (BIK+), wskazują zabezpieczenie wiekowe jako jedno z rozwiązań służących poprawie dobrostanu dzieci w </w:t>
      </w:r>
      <w:proofErr w:type="spellStart"/>
      <w:r>
        <w:t>internecie</w:t>
      </w:r>
      <w:proofErr w:type="spellEnd"/>
      <w:r>
        <w:t xml:space="preserve"> dzięki bezpiecznemu, dostosowanemu do wieku środowisku cyfrowemu zgodnie z europejskimi prawami i zasadami cyfrowymi.</w:t>
      </w:r>
      <w:r>
        <w:rPr>
          <w:rStyle w:val="Odwoanieprzypisudolnego"/>
        </w:rPr>
        <w:footnoteReference w:id="5"/>
      </w:r>
    </w:p>
    <w:p w14:paraId="4C2271F1" w14:textId="77777777" w:rsidR="001C3C4D" w:rsidRDefault="001C3C4D" w:rsidP="003544F2">
      <w:pPr>
        <w:spacing w:after="0" w:line="240" w:lineRule="auto"/>
        <w:jc w:val="both"/>
      </w:pPr>
    </w:p>
    <w:p w14:paraId="2291174B" w14:textId="0919EA39" w:rsidR="00F72433" w:rsidRDefault="008C123E" w:rsidP="005C604F">
      <w:pPr>
        <w:pStyle w:val="Akapitzlist"/>
        <w:numPr>
          <w:ilvl w:val="0"/>
          <w:numId w:val="7"/>
        </w:numPr>
        <w:spacing w:after="0" w:line="240" w:lineRule="auto"/>
        <w:ind w:left="-3"/>
        <w:jc w:val="both"/>
      </w:pPr>
      <w:r>
        <w:t xml:space="preserve">W oparciu o definicję zawartą w sprawozdaniu z badań </w:t>
      </w:r>
      <w:r w:rsidRPr="00432F43">
        <w:rPr>
          <w:iCs/>
        </w:rPr>
        <w:t>„</w:t>
      </w:r>
      <w:r w:rsidR="00963115" w:rsidRPr="00432F43">
        <w:rPr>
          <w:iCs/>
        </w:rPr>
        <w:t>Mapowanie typologii i wymagań dotyczących zapewnienia wieku”</w:t>
      </w:r>
      <w:r w:rsidR="00963115">
        <w:rPr>
          <w:rStyle w:val="Odwoanieprzypisudolnego"/>
          <w:i/>
        </w:rPr>
        <w:footnoteReference w:id="6"/>
      </w:r>
      <w:r w:rsidR="00963115">
        <w:rPr>
          <w:i/>
        </w:rPr>
        <w:t>,</w:t>
      </w:r>
      <w:r>
        <w:t xml:space="preserve"> w niniejszym dokumencie będzie</w:t>
      </w:r>
      <w:r w:rsidR="00A65986">
        <w:t>my</w:t>
      </w:r>
      <w:r>
        <w:t xml:space="preserve"> się posługiwać pojęciem „</w:t>
      </w:r>
      <w:r w:rsidR="00963115">
        <w:t>zapewnienie wieku</w:t>
      </w:r>
      <w:r>
        <w:t>” jako „określeniem</w:t>
      </w:r>
      <w:r w:rsidR="00963115">
        <w:t xml:space="preserve"> </w:t>
      </w:r>
      <w:r>
        <w:rPr>
          <w:i/>
        </w:rPr>
        <w:t>ogólnym metod stosowanych do określenia wieku lub przedziału wiekowego danej osoby do różnych poziomów pewności”.</w:t>
      </w:r>
      <w:r>
        <w:t xml:space="preserve"> W tym samym sprawozdaniu wymieniono trzy </w:t>
      </w:r>
      <w:r>
        <w:lastRenderedPageBreak/>
        <w:t xml:space="preserve">podstawowe kategorie </w:t>
      </w:r>
      <w:r w:rsidR="00FE6910">
        <w:t>zapewnienia</w:t>
      </w:r>
      <w:r>
        <w:t xml:space="preserve"> wieku: oszacowanie wieku, weryfikacja wieku i oświadczenie własne. </w:t>
      </w:r>
    </w:p>
    <w:p w14:paraId="1F07E260" w14:textId="77777777" w:rsidR="00D66CBF" w:rsidRDefault="00D66CBF" w:rsidP="003544F2">
      <w:pPr>
        <w:pStyle w:val="Akapitzlist"/>
        <w:spacing w:after="0" w:line="240" w:lineRule="auto"/>
        <w:ind w:left="0"/>
        <w:jc w:val="both"/>
      </w:pPr>
    </w:p>
    <w:p w14:paraId="3F01FE76" w14:textId="2115CA3C" w:rsidR="00F72433" w:rsidRPr="001C3C4D" w:rsidRDefault="008C123E" w:rsidP="005C604F">
      <w:pPr>
        <w:pStyle w:val="Akapitzlist"/>
        <w:numPr>
          <w:ilvl w:val="0"/>
          <w:numId w:val="7"/>
        </w:numPr>
        <w:spacing w:after="0" w:line="240" w:lineRule="auto"/>
        <w:ind w:left="-3"/>
        <w:jc w:val="both"/>
      </w:pPr>
      <w:r>
        <w:t>Zapewnienie wieku stwarza szczególne ryzyko dla ochrony danych, które może negatywnie wpłynąć nie tylko na prawo osób fizycznych do ochrony ich danych osobowych, ale także na inne prawa i wolności</w:t>
      </w:r>
      <w:r>
        <w:rPr>
          <w:rStyle w:val="Odwoanieprzypisudolnego"/>
        </w:rPr>
        <w:footnoteReference w:id="7"/>
      </w:r>
      <w:r w:rsidR="00AE33F0">
        <w:t>,</w:t>
      </w:r>
      <w:r>
        <w:rPr>
          <w:rFonts w:ascii="Calibri" w:eastAsia="Calibri" w:hAnsi="Calibri" w:cs="Calibri"/>
        </w:rPr>
        <w:t xml:space="preserve"> takie jak prawo do niedyskryminacji, prawo do integralności osoby, prawo do wolności i bezpieczeństwa osobistego oraz prawo do wolności wypowiedzi i informacji.</w:t>
      </w:r>
    </w:p>
    <w:p w14:paraId="5BFC1718" w14:textId="77777777" w:rsidR="001C3C4D" w:rsidRDefault="001C3C4D" w:rsidP="003544F2">
      <w:pPr>
        <w:spacing w:after="0" w:line="240" w:lineRule="auto"/>
        <w:jc w:val="both"/>
      </w:pPr>
    </w:p>
    <w:p w14:paraId="796BF23C" w14:textId="479A11F5" w:rsidR="00F72433" w:rsidRDefault="008C123E" w:rsidP="005C604F">
      <w:pPr>
        <w:pStyle w:val="Akapitzlist"/>
        <w:numPr>
          <w:ilvl w:val="0"/>
          <w:numId w:val="7"/>
        </w:numPr>
        <w:spacing w:after="0" w:line="240" w:lineRule="auto"/>
        <w:ind w:left="-3"/>
        <w:jc w:val="both"/>
      </w:pPr>
      <w:r>
        <w:t xml:space="preserve">Uznając znaczenie spójnego podejścia na szczeblu UE do kwestii zapewnienia wieku, EROD pragnie przedstawić szczegółowe wytyczne i ogólne zasady wynikające z RODO, które należy wziąć pod uwagę przy przetwarzaniu danych osobowych w kontekście zapewnienia wieku. </w:t>
      </w:r>
    </w:p>
    <w:p w14:paraId="7CAFCF39" w14:textId="77777777" w:rsidR="001C3C4D" w:rsidRDefault="001C3C4D" w:rsidP="003544F2">
      <w:pPr>
        <w:spacing w:after="0" w:line="240" w:lineRule="auto"/>
        <w:jc w:val="both"/>
      </w:pPr>
    </w:p>
    <w:p w14:paraId="2AC3A74B" w14:textId="7FD0351C" w:rsidR="00F72433" w:rsidRDefault="008C123E" w:rsidP="003544F2">
      <w:pPr>
        <w:pStyle w:val="P68B1DB1-Akapitzlist1"/>
        <w:numPr>
          <w:ilvl w:val="0"/>
          <w:numId w:val="7"/>
        </w:numPr>
        <w:spacing w:after="0" w:line="240" w:lineRule="auto"/>
        <w:ind w:left="0"/>
        <w:jc w:val="both"/>
      </w:pPr>
      <w:r>
        <w:t>Proponowane zasady mają na celu pogodzenie ochrony dzieci i ochrony danych osobowych w kontekście zapewnienia wieku.</w:t>
      </w:r>
    </w:p>
    <w:p w14:paraId="71927B77" w14:textId="77777777" w:rsidR="001C3C4D" w:rsidRDefault="001C3C4D" w:rsidP="003544F2">
      <w:pPr>
        <w:pStyle w:val="P68B1DB1-Akapitzlist1"/>
        <w:spacing w:after="0" w:line="240" w:lineRule="auto"/>
        <w:jc w:val="both"/>
      </w:pPr>
    </w:p>
    <w:p w14:paraId="6F0811D2" w14:textId="423B49C6" w:rsidR="00F72433" w:rsidRDefault="008C123E" w:rsidP="003544F2">
      <w:pPr>
        <w:pStyle w:val="Akapitzlist"/>
        <w:numPr>
          <w:ilvl w:val="0"/>
          <w:numId w:val="7"/>
        </w:numPr>
        <w:spacing w:after="0" w:line="240" w:lineRule="auto"/>
        <w:ind w:left="0"/>
        <w:jc w:val="both"/>
        <w:rPr>
          <w:rFonts w:ascii="Calibri" w:eastAsia="Calibri" w:hAnsi="Calibri" w:cs="Calibri"/>
        </w:rPr>
      </w:pPr>
      <w:r>
        <w:rPr>
          <w:rFonts w:ascii="Calibri" w:eastAsia="Calibri" w:hAnsi="Calibri" w:cs="Calibri"/>
        </w:rPr>
        <w:t>Priorytetowo potraktowano spełnienie wymogów dotyczących głównych zasad określonych w art. 5 RODO (zgodność</w:t>
      </w:r>
      <w:r w:rsidR="00666C97">
        <w:rPr>
          <w:rFonts w:ascii="Calibri" w:eastAsia="Calibri" w:hAnsi="Calibri" w:cs="Calibri"/>
        </w:rPr>
        <w:t xml:space="preserve"> </w:t>
      </w:r>
      <w:r>
        <w:t xml:space="preserve">z prawem, rzetelność, przejrzystość, </w:t>
      </w:r>
      <w:r>
        <w:rPr>
          <w:rFonts w:ascii="Calibri" w:eastAsia="Calibri" w:hAnsi="Calibri" w:cs="Calibri"/>
        </w:rPr>
        <w:t>ograniczenie celu, minimalizacja danych,</w:t>
      </w:r>
      <w:r w:rsidR="00666C97" w:rsidRPr="00666C97">
        <w:t xml:space="preserve"> </w:t>
      </w:r>
      <w:r w:rsidR="00666C97" w:rsidRPr="00666C97">
        <w:rPr>
          <w:rFonts w:ascii="Calibri" w:eastAsia="Calibri" w:hAnsi="Calibri" w:cs="Calibri"/>
        </w:rPr>
        <w:t>prawidłowość</w:t>
      </w:r>
      <w:r>
        <w:rPr>
          <w:rFonts w:ascii="Calibri" w:eastAsia="Calibri" w:hAnsi="Calibri" w:cs="Calibri"/>
        </w:rPr>
        <w:t>, ograniczenie przechowywania, poufność, integralność i rozliczalność)</w:t>
      </w:r>
      <w:r w:rsidR="00666C97">
        <w:rPr>
          <w:rFonts w:ascii="Calibri" w:eastAsia="Calibri" w:hAnsi="Calibri" w:cs="Calibri"/>
        </w:rPr>
        <w:t xml:space="preserve"> </w:t>
      </w:r>
      <w:r>
        <w:rPr>
          <w:rFonts w:ascii="Calibri" w:eastAsia="Calibri" w:hAnsi="Calibri" w:cs="Calibri"/>
        </w:rPr>
        <w:t>oraz zapewnienie, aby te zasady ochrony danych były właściwie wdrażane i pozost</w:t>
      </w:r>
      <w:r w:rsidR="00666C97">
        <w:rPr>
          <w:rFonts w:ascii="Calibri" w:eastAsia="Calibri" w:hAnsi="Calibri" w:cs="Calibri"/>
        </w:rPr>
        <w:t>awały trwałe</w:t>
      </w:r>
      <w:r>
        <w:rPr>
          <w:rFonts w:ascii="Calibri" w:eastAsia="Calibri" w:hAnsi="Calibri" w:cs="Calibri"/>
        </w:rPr>
        <w:t>, jak określono w art. 25 RODO „</w:t>
      </w:r>
      <w:r w:rsidR="00B41200" w:rsidRPr="00B41200">
        <w:rPr>
          <w:rFonts w:ascii="Calibri" w:eastAsia="Calibri" w:hAnsi="Calibri" w:cs="Calibri"/>
        </w:rPr>
        <w:t xml:space="preserve">Uwzględnianie ochrony danych w fazie projektowania oraz domyślna ochrona </w:t>
      </w:r>
      <w:proofErr w:type="spellStart"/>
      <w:r w:rsidR="00B41200" w:rsidRPr="00B41200">
        <w:rPr>
          <w:rFonts w:ascii="Calibri" w:eastAsia="Calibri" w:hAnsi="Calibri" w:cs="Calibri"/>
        </w:rPr>
        <w:t>danych</w:t>
      </w:r>
      <w:r>
        <w:rPr>
          <w:rFonts w:ascii="Calibri" w:eastAsia="Calibri" w:hAnsi="Calibri" w:cs="Calibri"/>
        </w:rPr>
        <w:t>i</w:t>
      </w:r>
      <w:proofErr w:type="spellEnd"/>
      <w:r>
        <w:rPr>
          <w:rFonts w:ascii="Calibri" w:eastAsia="Calibri" w:hAnsi="Calibri" w:cs="Calibri"/>
        </w:rPr>
        <w:t xml:space="preserve"> art. 32 RODO „Bezpieczeństwo przetwarzania”.</w:t>
      </w:r>
    </w:p>
    <w:p w14:paraId="1B568F63" w14:textId="77777777" w:rsidR="001C3C4D" w:rsidRPr="001C3C4D" w:rsidRDefault="001C3C4D" w:rsidP="003544F2">
      <w:pPr>
        <w:spacing w:after="0" w:line="240" w:lineRule="auto"/>
        <w:jc w:val="both"/>
        <w:rPr>
          <w:rFonts w:ascii="Calibri" w:eastAsia="Calibri" w:hAnsi="Calibri" w:cs="Calibri"/>
        </w:rPr>
      </w:pPr>
    </w:p>
    <w:p w14:paraId="11253DC4" w14:textId="363692FD" w:rsidR="00F72433" w:rsidRDefault="008C123E" w:rsidP="003544F2">
      <w:pPr>
        <w:pStyle w:val="Akapitzlist"/>
        <w:numPr>
          <w:ilvl w:val="0"/>
          <w:numId w:val="7"/>
        </w:numPr>
        <w:spacing w:after="0" w:line="240" w:lineRule="auto"/>
        <w:ind w:left="0"/>
        <w:jc w:val="both"/>
      </w:pPr>
      <w:r>
        <w:t xml:space="preserve">Oświadczenie to koncentruje się na zasadach mających zastosowanie do różnych przypadków korzystania z </w:t>
      </w:r>
      <w:proofErr w:type="spellStart"/>
      <w:r>
        <w:t>internetu</w:t>
      </w:r>
      <w:proofErr w:type="spellEnd"/>
      <w:r>
        <w:t xml:space="preserve">, w tym w przypadku, gdy minimalny wiek jest przewidziany przez prawo lub w inny sposób do zakupu produktów, korzystania z usług, które mogą szkodzić dzieciom, lub do wykonywania czynności prawnych; oraz gdy istnieje obowiązek dochowania należytej staranności w celu ochrony dzieci (na przykład w celu zapewnienia, aby usługi były projektowane lub oferowane w sposób dostosowany do wieku). </w:t>
      </w:r>
    </w:p>
    <w:p w14:paraId="66B1CA60" w14:textId="77777777" w:rsidR="001C3C4D" w:rsidRDefault="001C3C4D" w:rsidP="003544F2">
      <w:pPr>
        <w:spacing w:after="0" w:line="240" w:lineRule="auto"/>
        <w:jc w:val="both"/>
      </w:pPr>
    </w:p>
    <w:p w14:paraId="16E14E47" w14:textId="77777777" w:rsidR="00F72433" w:rsidRDefault="008C123E" w:rsidP="003544F2">
      <w:pPr>
        <w:pStyle w:val="Akapitzlist"/>
        <w:numPr>
          <w:ilvl w:val="0"/>
          <w:numId w:val="7"/>
        </w:numPr>
        <w:spacing w:after="0" w:line="240" w:lineRule="auto"/>
        <w:ind w:left="0"/>
        <w:jc w:val="both"/>
      </w:pPr>
      <w:r>
        <w:t>EROD może również rozważyć wydanie – w stosownych przypadkach i w innych dokumentach – dodatkowych wytycznych dotyczących konkretnych przypadków użycia.</w:t>
      </w:r>
    </w:p>
    <w:p w14:paraId="17374061" w14:textId="3C4C8A47" w:rsidR="00F72433" w:rsidRDefault="00F72433" w:rsidP="003544F2">
      <w:pPr>
        <w:pStyle w:val="Akapitzlist"/>
        <w:spacing w:after="0" w:line="240" w:lineRule="auto"/>
        <w:ind w:left="0"/>
      </w:pPr>
    </w:p>
    <w:p w14:paraId="6197DEB4" w14:textId="060296C9" w:rsidR="003544F2" w:rsidRDefault="003544F2" w:rsidP="005C604F">
      <w:pPr>
        <w:pStyle w:val="Nagwek1"/>
        <w:numPr>
          <w:ilvl w:val="0"/>
          <w:numId w:val="5"/>
        </w:numPr>
        <w:spacing w:before="0" w:after="0" w:line="240" w:lineRule="auto"/>
        <w:jc w:val="both"/>
      </w:pPr>
      <w:r w:rsidRPr="00B41200">
        <w:t>ZASADY PROJEKTOWANIA ZGODNEGO Z RODO ZAPEWNI</w:t>
      </w:r>
      <w:r>
        <w:t>e</w:t>
      </w:r>
      <w:r w:rsidRPr="00B41200">
        <w:t>NIA WIEKU</w:t>
      </w:r>
    </w:p>
    <w:p w14:paraId="4918D170" w14:textId="77777777" w:rsidR="005C604F" w:rsidRPr="005C604F" w:rsidRDefault="005C604F" w:rsidP="005C604F">
      <w:pPr>
        <w:spacing w:after="0"/>
      </w:pPr>
    </w:p>
    <w:p w14:paraId="0FC49676" w14:textId="77777777" w:rsidR="003544F2" w:rsidRPr="001C3C4D" w:rsidRDefault="003544F2" w:rsidP="005C604F">
      <w:pPr>
        <w:pStyle w:val="Nagwek2"/>
        <w:keepNext/>
        <w:numPr>
          <w:ilvl w:val="1"/>
          <w:numId w:val="5"/>
        </w:numPr>
        <w:spacing w:before="0" w:after="0" w:line="240" w:lineRule="auto"/>
        <w:jc w:val="both"/>
      </w:pPr>
      <w:r>
        <w:t>Pełne i skuteczne korzystanie z praw i wolności</w:t>
      </w:r>
    </w:p>
    <w:p w14:paraId="0199DF6B" w14:textId="77777777" w:rsidR="00AC5E8A" w:rsidRDefault="00AC5E8A" w:rsidP="003544F2">
      <w:pPr>
        <w:pStyle w:val="Akapitzlist"/>
        <w:keepNext/>
        <w:spacing w:after="0" w:line="240" w:lineRule="auto"/>
        <w:ind w:left="0"/>
        <w:jc w:val="both"/>
        <w:rPr>
          <w:iCs/>
        </w:rPr>
      </w:pPr>
    </w:p>
    <w:p w14:paraId="5601F93E" w14:textId="1255D35A" w:rsidR="00F72433" w:rsidRDefault="003544F2" w:rsidP="003544F2">
      <w:pPr>
        <w:pStyle w:val="Akapitzlist"/>
        <w:keepNext/>
        <w:spacing w:after="0" w:line="240" w:lineRule="auto"/>
        <w:ind w:left="0"/>
        <w:jc w:val="both"/>
        <w:rPr>
          <w:iCs/>
        </w:rPr>
      </w:pPr>
      <w:r w:rsidRPr="00432F43">
        <w:rPr>
          <w:iCs/>
        </w:rPr>
        <w:t>Zapewnienie wieku musi być zgodne z pełnym poszanowaniem podstawowych praw</w:t>
      </w:r>
      <w:r w:rsidRPr="00432F43">
        <w:rPr>
          <w:rStyle w:val="Odwoanieprzypisudolnego"/>
          <w:iCs/>
        </w:rPr>
        <w:footnoteReference w:id="8"/>
      </w:r>
      <w:r w:rsidRPr="00432F43">
        <w:rPr>
          <w:iCs/>
        </w:rPr>
        <w:t xml:space="preserve"> i wolności osób fizycznych, a dobro dziecka powinno być kwestią nadrzędną dla wszystkich stron zaangażowanych w ten proces.</w:t>
      </w:r>
      <w:bookmarkEnd w:id="1"/>
    </w:p>
    <w:p w14:paraId="37564D97" w14:textId="77777777" w:rsidR="005C604F" w:rsidRPr="003544F2" w:rsidRDefault="005C604F" w:rsidP="003544F2">
      <w:pPr>
        <w:pStyle w:val="Akapitzlist"/>
        <w:keepNext/>
        <w:spacing w:after="0" w:line="240" w:lineRule="auto"/>
        <w:ind w:left="0"/>
        <w:jc w:val="both"/>
        <w:rPr>
          <w:iCs/>
        </w:rPr>
      </w:pPr>
    </w:p>
    <w:p w14:paraId="305A299F" w14:textId="52B85077" w:rsidR="00590646" w:rsidRDefault="008C123E" w:rsidP="003544F2">
      <w:pPr>
        <w:pStyle w:val="P68B1DB1-Normalny2"/>
        <w:numPr>
          <w:ilvl w:val="0"/>
          <w:numId w:val="7"/>
        </w:numPr>
        <w:spacing w:after="0" w:line="240" w:lineRule="auto"/>
        <w:ind w:left="0"/>
        <w:jc w:val="both"/>
      </w:pPr>
      <w:r>
        <w:t xml:space="preserve">Wdrażając </w:t>
      </w:r>
      <w:r w:rsidR="00C00781">
        <w:t>zapewnienie</w:t>
      </w:r>
      <w:r>
        <w:t xml:space="preserve"> wieku,  </w:t>
      </w:r>
      <w:r w:rsidR="00C00781" w:rsidRPr="00C00781">
        <w:t>dostawcy usług powinni upewnić się, że biorą pod uwagę nie tylko wpływ na prawo do ochrony danych osobowych, ale także na wszystkie podstawowe prawa osób fizycznych.</w:t>
      </w:r>
    </w:p>
    <w:p w14:paraId="582630C8" w14:textId="77777777" w:rsidR="001C3C4D" w:rsidRDefault="001C3C4D" w:rsidP="003544F2">
      <w:pPr>
        <w:pStyle w:val="P68B1DB1-Normalny2"/>
        <w:spacing w:after="0" w:line="240" w:lineRule="auto"/>
        <w:jc w:val="both"/>
      </w:pPr>
    </w:p>
    <w:p w14:paraId="4DC2A569" w14:textId="10953128" w:rsidR="00F72433" w:rsidRDefault="008C123E" w:rsidP="003544F2">
      <w:pPr>
        <w:pStyle w:val="P68B1DB1-Normalny2"/>
        <w:numPr>
          <w:ilvl w:val="0"/>
          <w:numId w:val="7"/>
        </w:numPr>
        <w:spacing w:after="0" w:line="240" w:lineRule="auto"/>
        <w:ind w:left="0"/>
        <w:jc w:val="both"/>
      </w:pPr>
      <w:r w:rsidRPr="00590646">
        <w:t>W szczególnym przypadku dzieci</w:t>
      </w:r>
      <w:r w:rsidR="00274F2D" w:rsidRPr="00590646">
        <w:t>,</w:t>
      </w:r>
      <w:r w:rsidRPr="00590646">
        <w:t xml:space="preserve"> </w:t>
      </w:r>
      <w:r w:rsidR="00A65986" w:rsidRPr="00590646">
        <w:t>najlepszy interes dziecka</w:t>
      </w:r>
      <w:r>
        <w:rPr>
          <w:rStyle w:val="Odwoanieprzypisudolnego"/>
        </w:rPr>
        <w:footnoteReference w:id="9"/>
      </w:r>
      <w:r w:rsidRPr="00590646">
        <w:t xml:space="preserve"> </w:t>
      </w:r>
      <w:r w:rsidR="00E23A55" w:rsidRPr="00590646">
        <w:t>powin</w:t>
      </w:r>
      <w:r w:rsidR="00E23A55">
        <w:t>ien</w:t>
      </w:r>
      <w:r w:rsidR="00E23A55" w:rsidRPr="00590646">
        <w:t xml:space="preserve"> </w:t>
      </w:r>
      <w:r w:rsidRPr="00590646">
        <w:t>być kwestią nadrzędną dla wszystkich stron zaangażowanych w zapewnienie wieku. Należy zauważyć, że nie ma hierarchii w uwzględnianiu najlepszego interesu dziecka i należy uwzględnić wszystkie prawa dzieci,</w:t>
      </w:r>
      <w:r>
        <w:rPr>
          <w:rStyle w:val="Odwoanieprzypisudolnego"/>
        </w:rPr>
        <w:footnoteReference w:id="10"/>
      </w:r>
      <w:r w:rsidRPr="00590646">
        <w:t xml:space="preserve"> w tym ich prawo do ochrony danych osobowych, do ochrony przed przemocą i wszelkimi innymi formami wykorzystywania, do dostępu do informacji z różnych źródeł oraz do należytego uwzględniania ich poglądów.</w:t>
      </w:r>
    </w:p>
    <w:p w14:paraId="154407B7" w14:textId="6A2D7222" w:rsidR="005C604F" w:rsidRDefault="005C604F" w:rsidP="005C604F">
      <w:pPr>
        <w:pStyle w:val="P68B1DB1-Normalny2"/>
        <w:spacing w:after="0" w:line="240" w:lineRule="auto"/>
        <w:jc w:val="both"/>
      </w:pPr>
    </w:p>
    <w:p w14:paraId="1AC0A229" w14:textId="575175EE" w:rsidR="00F72433" w:rsidRDefault="008C123E" w:rsidP="005C604F">
      <w:pPr>
        <w:pStyle w:val="Nagwek2"/>
        <w:numPr>
          <w:ilvl w:val="1"/>
          <w:numId w:val="5"/>
        </w:numPr>
        <w:spacing w:before="0" w:after="0" w:line="240" w:lineRule="auto"/>
        <w:jc w:val="both"/>
      </w:pPr>
      <w:r>
        <w:t>Oparta na analizie ryzyka ocena proporcjonalności zapewnienia wieku</w:t>
      </w:r>
    </w:p>
    <w:p w14:paraId="5FA0BE94" w14:textId="77777777" w:rsidR="00AC5E8A" w:rsidRDefault="00AC5E8A" w:rsidP="003544F2">
      <w:pPr>
        <w:pStyle w:val="P68B1DB1-Akapitzlist3"/>
        <w:spacing w:after="0" w:line="240" w:lineRule="auto"/>
        <w:ind w:left="0"/>
        <w:jc w:val="both"/>
        <w:rPr>
          <w:i w:val="0"/>
          <w:iCs/>
        </w:rPr>
      </w:pPr>
    </w:p>
    <w:p w14:paraId="6F607530" w14:textId="468B84ED" w:rsidR="00F72433" w:rsidRPr="00432F43" w:rsidRDefault="008C123E" w:rsidP="003544F2">
      <w:pPr>
        <w:pStyle w:val="P68B1DB1-Akapitzlist3"/>
        <w:spacing w:after="0" w:line="240" w:lineRule="auto"/>
        <w:ind w:left="0"/>
        <w:jc w:val="both"/>
        <w:rPr>
          <w:i w:val="0"/>
          <w:iCs/>
        </w:rPr>
      </w:pPr>
      <w:r w:rsidRPr="00432F43">
        <w:rPr>
          <w:i w:val="0"/>
          <w:iCs/>
        </w:rPr>
        <w:t>Za</w:t>
      </w:r>
      <w:r w:rsidR="0051607E" w:rsidRPr="00432F43">
        <w:rPr>
          <w:i w:val="0"/>
          <w:iCs/>
        </w:rPr>
        <w:t>pewnienie wieku</w:t>
      </w:r>
      <w:r w:rsidRPr="00432F43">
        <w:rPr>
          <w:i w:val="0"/>
          <w:iCs/>
        </w:rPr>
        <w:t xml:space="preserve"> powinno być zawsze wdrażane w sposób oparty na analizie ryzyka i proporcjonalny, zgodny z prawami i wolnościami osób fizycznych.</w:t>
      </w:r>
    </w:p>
    <w:p w14:paraId="2519B4CC" w14:textId="7177572E" w:rsidR="001212D1" w:rsidRPr="001212D1" w:rsidRDefault="008C123E" w:rsidP="001212D1">
      <w:pPr>
        <w:pStyle w:val="NormalnyWeb"/>
        <w:numPr>
          <w:ilvl w:val="0"/>
          <w:numId w:val="7"/>
        </w:numPr>
        <w:spacing w:after="0" w:afterAutospacing="0"/>
        <w:ind w:left="0"/>
        <w:jc w:val="both"/>
        <w:rPr>
          <w:rFonts w:asciiTheme="minorHAnsi" w:hAnsiTheme="minorHAnsi" w:cstheme="minorBidi"/>
          <w:sz w:val="22"/>
        </w:rPr>
      </w:pPr>
      <w:r>
        <w:rPr>
          <w:rFonts w:asciiTheme="minorHAnsi" w:hAnsiTheme="minorHAnsi" w:cstheme="minorBidi"/>
          <w:sz w:val="22"/>
        </w:rPr>
        <w:t>Dostawcy usług powinni przyjąć podejście oparte na analizie ryzyka przy projektowaniu i świadczeniu swoich usług. Należy wykazać konieczność i proporcjonalność stosowania środków bezpieczeństwa, takich jak zapewnienie wieku, z uwzględnieniem związanego z tym ryzyka. Konieczność tę można wykazać, przeprowadzając ocenę w</w:t>
      </w:r>
      <w:r>
        <w:rPr>
          <w:rStyle w:val="Odwoanieprzypisudolnego"/>
          <w:rFonts w:asciiTheme="minorHAnsi" w:hAnsiTheme="minorHAnsi" w:cstheme="minorBidi"/>
          <w:sz w:val="22"/>
        </w:rPr>
        <w:footnoteReference w:id="11"/>
      </w:r>
      <w:r>
        <w:rPr>
          <w:rFonts w:asciiTheme="minorHAnsi" w:hAnsiTheme="minorHAnsi" w:cstheme="minorBidi"/>
          <w:sz w:val="22"/>
        </w:rPr>
        <w:t xml:space="preserve"> celu zidentyfikowania i oceny zagrożeń, jakie dana usługa stwarza dla dzieci,</w:t>
      </w:r>
      <w:r>
        <w:rPr>
          <w:rStyle w:val="Odwoanieprzypisudolnego"/>
          <w:rFonts w:asciiTheme="minorHAnsi" w:hAnsiTheme="minorHAnsi" w:cstheme="minorBidi"/>
          <w:sz w:val="22"/>
        </w:rPr>
        <w:footnoteReference w:id="12"/>
      </w:r>
      <w:r w:rsidR="0051607E">
        <w:rPr>
          <w:rFonts w:asciiTheme="minorHAnsi" w:hAnsiTheme="minorHAnsi" w:cstheme="minorBidi"/>
          <w:sz w:val="22"/>
        </w:rPr>
        <w:t xml:space="preserve"> </w:t>
      </w:r>
      <w:r>
        <w:rPr>
          <w:rFonts w:asciiTheme="minorHAnsi" w:hAnsiTheme="minorHAnsi" w:cstheme="minorBidi"/>
          <w:sz w:val="22"/>
        </w:rPr>
        <w:t xml:space="preserve">takich jak narażenie na szkodliwy kontakt lub szkodliwe treści. W ramach tej oceny </w:t>
      </w:r>
      <w:r w:rsidR="0051607E">
        <w:rPr>
          <w:rFonts w:asciiTheme="minorHAnsi" w:hAnsiTheme="minorHAnsi" w:cstheme="minorBidi"/>
          <w:sz w:val="22"/>
        </w:rPr>
        <w:t>dostawcy usług</w:t>
      </w:r>
      <w:r>
        <w:rPr>
          <w:rFonts w:asciiTheme="minorHAnsi" w:hAnsiTheme="minorHAnsi" w:cstheme="minorBidi"/>
          <w:sz w:val="22"/>
        </w:rPr>
        <w:t xml:space="preserve"> mogą również wziąć pod uwagę prawa dzieci, możliwości oferowane przez środowisko cyfrowe, poglądy dzieci, a także ich zmieniające się zdolności, aby zapewnić uczestnictwo dostosowane do wieku.</w:t>
      </w:r>
      <w:r>
        <w:rPr>
          <w:rStyle w:val="Odwoanieprzypisudolnego"/>
          <w:rFonts w:asciiTheme="minorHAnsi" w:hAnsiTheme="minorHAnsi" w:cstheme="minorBidi"/>
          <w:sz w:val="22"/>
        </w:rPr>
        <w:footnoteReference w:id="13"/>
      </w:r>
    </w:p>
    <w:p w14:paraId="2EDA1563" w14:textId="0A586CCF" w:rsidR="001212D1" w:rsidRDefault="008C123E" w:rsidP="001212D1">
      <w:pPr>
        <w:pStyle w:val="NormalnyWeb"/>
        <w:numPr>
          <w:ilvl w:val="0"/>
          <w:numId w:val="7"/>
        </w:numPr>
        <w:spacing w:after="0" w:afterAutospacing="0"/>
        <w:ind w:left="0"/>
        <w:jc w:val="both"/>
        <w:rPr>
          <w:rFonts w:asciiTheme="minorHAnsi" w:hAnsiTheme="minorHAnsi" w:cstheme="minorBidi"/>
          <w:sz w:val="22"/>
        </w:rPr>
      </w:pPr>
      <w:r w:rsidRPr="008977FE">
        <w:rPr>
          <w:rFonts w:asciiTheme="minorHAnsi" w:hAnsiTheme="minorHAnsi" w:cstheme="minorBidi"/>
          <w:sz w:val="22"/>
        </w:rPr>
        <w:t xml:space="preserve">Dostawcy usług muszą również szanować prawa i wolności swoich użytkowników, w tym prawo do ochrony ich danych osobowych, równoważąc je z potrzebą wprowadzenia środków bezpieczeństwa, które zawsze powinny być najmniej ingerujące w te dostępne i które zawsze powinny być skuteczne. </w:t>
      </w:r>
      <w:r w:rsidRPr="008977FE">
        <w:rPr>
          <w:rFonts w:ascii="Calibri" w:eastAsia="Calibri" w:hAnsi="Calibri" w:cs="Calibri"/>
          <w:sz w:val="22"/>
        </w:rPr>
        <w:t>W wielu przypadkach zapewnienie wieku stwarza wysokie ryzyko dla praw i wolności osób, których dane dotyczą, co wymagałoby przeprowadzenia oceny skutków dla ochrony danych („ocena</w:t>
      </w:r>
      <w:r w:rsidRPr="008977FE">
        <w:rPr>
          <w:rFonts w:asciiTheme="minorHAnsi" w:hAnsiTheme="minorHAnsi" w:cstheme="minorBidi"/>
          <w:sz w:val="22"/>
        </w:rPr>
        <w:t xml:space="preserve"> skutków dla ochrony danych”, art. 35 RODO) przed przetwarzaniem, z uwzględnieniem charakteru, zakresu, kontekstu i celów przetwarzania. Ocena skutków dla ochrony danych powinna zawierać systematyczny opis planowanych operacji przetwarzania i celów przetwarzania, w tym, w stosownych przypadkach, prawnie uzasadnionego interesu realizowanego przez administratora. </w:t>
      </w:r>
      <w:r w:rsidR="005B6451" w:rsidRPr="008977FE">
        <w:rPr>
          <w:rFonts w:asciiTheme="minorHAnsi" w:hAnsiTheme="minorHAnsi" w:cstheme="minorBidi"/>
          <w:sz w:val="22"/>
        </w:rPr>
        <w:t xml:space="preserve">Powinna </w:t>
      </w:r>
      <w:r w:rsidRPr="008977FE">
        <w:rPr>
          <w:rFonts w:asciiTheme="minorHAnsi" w:hAnsiTheme="minorHAnsi" w:cstheme="minorBidi"/>
          <w:sz w:val="22"/>
        </w:rPr>
        <w:t>on</w:t>
      </w:r>
      <w:r w:rsidR="005B6451" w:rsidRPr="008977FE">
        <w:rPr>
          <w:rFonts w:asciiTheme="minorHAnsi" w:hAnsiTheme="minorHAnsi" w:cstheme="minorBidi"/>
          <w:sz w:val="22"/>
        </w:rPr>
        <w:t>a</w:t>
      </w:r>
      <w:r w:rsidRPr="008977FE">
        <w:rPr>
          <w:rFonts w:asciiTheme="minorHAnsi" w:hAnsiTheme="minorHAnsi" w:cstheme="minorBidi"/>
          <w:sz w:val="22"/>
        </w:rPr>
        <w:t xml:space="preserve"> również zawierać ocenę konieczności i proporcjonalności przetwarzania, identyfikować ryzyko wynikające z przetwarzania danych</w:t>
      </w:r>
      <w:r w:rsidR="008977FE">
        <w:rPr>
          <w:rFonts w:asciiTheme="minorHAnsi" w:hAnsiTheme="minorHAnsi" w:cstheme="minorBidi"/>
          <w:sz w:val="22"/>
        </w:rPr>
        <w:t xml:space="preserve"> </w:t>
      </w:r>
      <w:r w:rsidRPr="008977FE">
        <w:rPr>
          <w:rFonts w:asciiTheme="minorHAnsi" w:hAnsiTheme="minorHAnsi" w:cstheme="minorBidi"/>
          <w:sz w:val="22"/>
        </w:rPr>
        <w:t>osobowych do celów zapewnienia wieku oraz zawierać środki mające na celu ograniczenie tego ryzyka.</w:t>
      </w:r>
      <w:r>
        <w:rPr>
          <w:rStyle w:val="Odwoanieprzypisudolnego"/>
          <w:rFonts w:asciiTheme="minorHAnsi" w:hAnsiTheme="minorHAnsi" w:cstheme="minorBidi"/>
          <w:sz w:val="22"/>
        </w:rPr>
        <w:footnoteReference w:id="14"/>
      </w:r>
    </w:p>
    <w:p w14:paraId="23244DDE" w14:textId="77777777" w:rsidR="001212D1" w:rsidRPr="001212D1" w:rsidRDefault="001212D1" w:rsidP="00AC5E8A">
      <w:pPr>
        <w:pStyle w:val="NormalnyWeb"/>
        <w:spacing w:before="0" w:beforeAutospacing="0" w:after="0" w:afterAutospacing="0"/>
        <w:jc w:val="both"/>
        <w:rPr>
          <w:rFonts w:asciiTheme="minorHAnsi" w:hAnsiTheme="minorHAnsi" w:cstheme="minorBidi"/>
          <w:sz w:val="22"/>
        </w:rPr>
      </w:pPr>
    </w:p>
    <w:p w14:paraId="67464E92" w14:textId="237B1823" w:rsidR="005C604F" w:rsidRDefault="008C123E" w:rsidP="001212D1">
      <w:pPr>
        <w:pStyle w:val="NormalnyWeb"/>
        <w:numPr>
          <w:ilvl w:val="0"/>
          <w:numId w:val="7"/>
        </w:numPr>
        <w:spacing w:before="0" w:beforeAutospacing="0" w:after="0" w:afterAutospacing="0"/>
        <w:ind w:left="0"/>
        <w:jc w:val="both"/>
        <w:rPr>
          <w:rFonts w:asciiTheme="minorHAnsi" w:hAnsiTheme="minorHAnsi" w:cstheme="minorBidi"/>
          <w:sz w:val="22"/>
        </w:rPr>
      </w:pPr>
      <w:r w:rsidRPr="008977FE">
        <w:rPr>
          <w:rFonts w:asciiTheme="minorHAnsi" w:hAnsiTheme="minorHAnsi" w:cstheme="minorBidi"/>
          <w:sz w:val="22"/>
        </w:rPr>
        <w:t xml:space="preserve">Ocena skutków dla ochrony danych powinna stanowić wytyczne przy opracowywaniu i wdrażaniu odpowiednich środków technicznych i organizacyjnych służących zapewnieniu zgodności z przepisami o ochronie danych. To podejście oparte na analizie ryzyka ma kluczowe znaczenie dla zrównoważenia potencjalnej ingerencji w prawa i wolności osób fizycznych z zamierzonym celem w tym szczególnym kontekście, a mianowicie bezpieczeństwem dzieci. Należy zawsze dokładnie ocenić zakres, zasięg i </w:t>
      </w:r>
      <w:r w:rsidRPr="008977FE">
        <w:rPr>
          <w:rFonts w:asciiTheme="minorHAnsi" w:hAnsiTheme="minorHAnsi" w:cstheme="minorBidi"/>
          <w:sz w:val="22"/>
        </w:rPr>
        <w:lastRenderedPageBreak/>
        <w:t>intensywność tej ingerencji pod względem wpływu na prawa i wolności.</w:t>
      </w:r>
      <w:r>
        <w:rPr>
          <w:rStyle w:val="Odwoanieprzypisudolnego"/>
          <w:rFonts w:asciiTheme="minorHAnsi" w:hAnsiTheme="minorHAnsi" w:cstheme="minorBidi"/>
          <w:sz w:val="22"/>
        </w:rPr>
        <w:footnoteReference w:id="15"/>
      </w:r>
      <w:r w:rsidRPr="008977FE">
        <w:rPr>
          <w:rFonts w:asciiTheme="minorHAnsi" w:hAnsiTheme="minorHAnsi" w:cstheme="minorBidi"/>
          <w:sz w:val="22"/>
        </w:rPr>
        <w:t xml:space="preserve"> Na przykład dostawca usług przetwarzający dane osobowe w celu sprawdzenia wieku wszystkich swoich użytkowników podczas uzyskiwania dostępu do wszystkich swoich treści lub usług, nawet jeśli treści lub usługi są odpowiednie dla wszystkich odbiorców i pozbawione jakiegokolwiek ryzyka, nie przeszedłby testów konieczności i proporcjonalności.</w:t>
      </w:r>
    </w:p>
    <w:p w14:paraId="4459C70A" w14:textId="77777777" w:rsidR="005C604F" w:rsidRPr="005C604F" w:rsidRDefault="005C604F" w:rsidP="00B12BB0">
      <w:pPr>
        <w:pStyle w:val="NormalnyWeb"/>
        <w:spacing w:before="0" w:beforeAutospacing="0" w:after="0" w:afterAutospacing="0"/>
        <w:jc w:val="both"/>
        <w:rPr>
          <w:rFonts w:asciiTheme="minorHAnsi" w:hAnsiTheme="minorHAnsi" w:cstheme="minorBidi"/>
          <w:sz w:val="22"/>
        </w:rPr>
      </w:pPr>
    </w:p>
    <w:p w14:paraId="2FD86223" w14:textId="4AB2B6CA" w:rsidR="00F72433" w:rsidRDefault="008C123E" w:rsidP="005C604F">
      <w:pPr>
        <w:pStyle w:val="Nagwek2"/>
        <w:keepNext/>
        <w:numPr>
          <w:ilvl w:val="0"/>
          <w:numId w:val="0"/>
        </w:numPr>
        <w:spacing w:before="0" w:after="0" w:line="240" w:lineRule="auto"/>
        <w:ind w:left="578" w:hanging="578"/>
        <w:jc w:val="both"/>
      </w:pPr>
      <w:r>
        <w:t>2.3 Zapobieganie zagrożeniom dla ochrony danych</w:t>
      </w:r>
    </w:p>
    <w:p w14:paraId="6D3DAF40" w14:textId="77777777" w:rsidR="00AC5E8A" w:rsidRDefault="00AC5E8A" w:rsidP="003544F2">
      <w:pPr>
        <w:pStyle w:val="P68B1DB1-Normalny4"/>
        <w:keepNext/>
        <w:spacing w:after="0" w:line="240" w:lineRule="auto"/>
        <w:jc w:val="both"/>
        <w:rPr>
          <w:i w:val="0"/>
          <w:iCs/>
        </w:rPr>
      </w:pPr>
    </w:p>
    <w:p w14:paraId="688CE84F" w14:textId="761B1B75" w:rsidR="001C3C4D" w:rsidRDefault="008C123E" w:rsidP="003544F2">
      <w:pPr>
        <w:pStyle w:val="P68B1DB1-Normalny4"/>
        <w:keepNext/>
        <w:spacing w:after="0" w:line="240" w:lineRule="auto"/>
        <w:jc w:val="both"/>
        <w:rPr>
          <w:i w:val="0"/>
          <w:iCs/>
        </w:rPr>
      </w:pPr>
      <w:r w:rsidRPr="00432F43">
        <w:rPr>
          <w:i w:val="0"/>
          <w:iCs/>
        </w:rPr>
        <w:t>Za</w:t>
      </w:r>
      <w:r w:rsidR="00A9613D" w:rsidRPr="00432F43">
        <w:rPr>
          <w:i w:val="0"/>
          <w:iCs/>
        </w:rPr>
        <w:t>pewnienie wieku</w:t>
      </w:r>
      <w:r w:rsidRPr="00432F43">
        <w:rPr>
          <w:i w:val="0"/>
          <w:iCs/>
        </w:rPr>
        <w:t xml:space="preserve"> nie powinno prowadzić do niepotrzebnego ryzyka dla osób fizycznych związanego z ochroną danych. W szczególności </w:t>
      </w:r>
      <w:r w:rsidR="00A9613D" w:rsidRPr="00432F43">
        <w:rPr>
          <w:i w:val="0"/>
          <w:iCs/>
        </w:rPr>
        <w:t>zapewnienie</w:t>
      </w:r>
      <w:r w:rsidRPr="00432F43">
        <w:rPr>
          <w:i w:val="0"/>
          <w:iCs/>
        </w:rPr>
        <w:t xml:space="preserve"> wieku nie powinn</w:t>
      </w:r>
      <w:r w:rsidR="00A9613D" w:rsidRPr="00432F43">
        <w:rPr>
          <w:i w:val="0"/>
          <w:iCs/>
        </w:rPr>
        <w:t>o</w:t>
      </w:r>
      <w:r w:rsidRPr="00432F43">
        <w:rPr>
          <w:i w:val="0"/>
          <w:iCs/>
        </w:rPr>
        <w:t xml:space="preserve"> zapewniać </w:t>
      </w:r>
      <w:r w:rsidR="00A9613D" w:rsidRPr="00432F43">
        <w:rPr>
          <w:i w:val="0"/>
          <w:iCs/>
        </w:rPr>
        <w:t>dostawcom usług</w:t>
      </w:r>
      <w:r w:rsidRPr="00432F43">
        <w:rPr>
          <w:i w:val="0"/>
          <w:iCs/>
        </w:rPr>
        <w:t xml:space="preserve"> dodatkowych środków identyfikacji, lokalizowania, profilowania lub śledzenia osób fizycznych.</w:t>
      </w:r>
    </w:p>
    <w:p w14:paraId="7D54A11C" w14:textId="77777777" w:rsidR="001C3C4D" w:rsidRPr="00432F43" w:rsidRDefault="001C3C4D" w:rsidP="003544F2">
      <w:pPr>
        <w:pStyle w:val="P68B1DB1-Normalny4"/>
        <w:keepNext/>
        <w:spacing w:after="0" w:line="240" w:lineRule="auto"/>
        <w:jc w:val="both"/>
        <w:rPr>
          <w:i w:val="0"/>
          <w:iCs/>
        </w:rPr>
      </w:pPr>
    </w:p>
    <w:p w14:paraId="3D8BB513" w14:textId="6BB59DC8" w:rsidR="008977FE" w:rsidRDefault="008C123E" w:rsidP="00AC5E8A">
      <w:pPr>
        <w:pStyle w:val="Akapitzlist"/>
        <w:numPr>
          <w:ilvl w:val="0"/>
          <w:numId w:val="7"/>
        </w:numPr>
        <w:spacing w:after="0" w:line="240" w:lineRule="auto"/>
        <w:ind w:left="-3"/>
        <w:jc w:val="both"/>
      </w:pPr>
      <w:r>
        <w:t>Dostawcy usług i wszelkie osoby trzecie zaangażowane w zapewni</w:t>
      </w:r>
      <w:r w:rsidR="00A9613D">
        <w:t>e</w:t>
      </w:r>
      <w:r>
        <w:t xml:space="preserve">nie wieku powinny wdrożyć skuteczne środki i zabezpieczenia, aby zapobiec powodowaniu przez ten proces niepotrzebnych zagrożeń dla ochrony danych, takich jak zagrożenia wynikające z identyfikacji, lokalizacji, profilowania lub śledzenia osób fizycznych. Przetwarzanie danych osobowych w celu zapewnienia wieku nie powinno </w:t>
      </w:r>
      <w:r w:rsidR="00A9613D" w:rsidRPr="00A9613D">
        <w:t>dostarcza</w:t>
      </w:r>
      <w:r w:rsidR="00E23A55">
        <w:t>ć</w:t>
      </w:r>
      <w:r w:rsidR="00A9613D" w:rsidRPr="00A9613D">
        <w:t xml:space="preserve"> dodatkowych środków służących realizacji celów niezwiązanych z samym zapewnieniem wieku.</w:t>
      </w:r>
      <w:r>
        <w:t xml:space="preserve">. Wymaga to </w:t>
      </w:r>
      <w:r w:rsidRPr="008977FE">
        <w:rPr>
          <w:rFonts w:ascii="Calibri" w:eastAsia="Calibri" w:hAnsi="Calibri" w:cs="Calibri"/>
        </w:rPr>
        <w:t>wyboru podejść opartych na zapewnieniu wieku, które są w pełni zgodne z zasadą uwzględniania ochrony danych w fazie projektowania i zasadą domyślnej ochrony danych (zob. sekcja 2.8), oraz</w:t>
      </w:r>
      <w:r>
        <w:t xml:space="preserve"> środków wykonawczych gwarantujących zasadę sprawiedliwości, zapewniających, aby dane osobowe nie były przetwarzane w sposób </w:t>
      </w:r>
      <w:r w:rsidR="0047737C">
        <w:t xml:space="preserve">bez uzasadnienia </w:t>
      </w:r>
      <w:r>
        <w:t>szkodliwy, bezprawnie dyskryminujący, nieoczekiwany lub wprowadzający w błąd osoby, których dane dotyczą.</w:t>
      </w:r>
    </w:p>
    <w:p w14:paraId="7F5504C6" w14:textId="77777777" w:rsidR="001C3C4D" w:rsidRDefault="001C3C4D" w:rsidP="003544F2">
      <w:pPr>
        <w:pStyle w:val="Akapitzlist"/>
        <w:spacing w:after="0" w:line="240" w:lineRule="auto"/>
        <w:ind w:left="0"/>
        <w:jc w:val="both"/>
      </w:pPr>
    </w:p>
    <w:p w14:paraId="6945E9ED" w14:textId="540968CD" w:rsidR="008977FE" w:rsidRPr="001C3C4D" w:rsidRDefault="008C123E" w:rsidP="003544F2">
      <w:pPr>
        <w:pStyle w:val="Akapitzlist"/>
        <w:numPr>
          <w:ilvl w:val="0"/>
          <w:numId w:val="7"/>
        </w:numPr>
        <w:spacing w:after="0" w:line="240" w:lineRule="auto"/>
        <w:ind w:left="0"/>
        <w:jc w:val="both"/>
      </w:pPr>
      <w:r>
        <w:t xml:space="preserve">Na przykład osoba fizyczna zobowiązana do zweryfikowania swojego wieku w celu uzyskania dostępu do treści dla dorosłych nie oczekiwałaby, że dostawca usług użyje </w:t>
      </w:r>
      <w:r w:rsidR="00894B3A">
        <w:t>zapewnienia</w:t>
      </w:r>
      <w:r>
        <w:t xml:space="preserve"> wieku do określenia jej tożsamości lub dokładnego położenia geograficznego lub do monitorowania, oceny lub wnioskowania o osobistych aspektach jej tożsamości. Fakt ten ma szczególne znaczenie dla zgodności z zasadami ochrony danych określonymi w art. 5 ust. 1, w tym z zasadami </w:t>
      </w:r>
      <w:r w:rsidR="00894B3A">
        <w:t>rzetelności</w:t>
      </w:r>
      <w:r>
        <w:t xml:space="preserve">, przejrzystości i </w:t>
      </w:r>
      <w:r w:rsidR="00894B3A">
        <w:t>ograniczenia celu</w:t>
      </w:r>
      <w:r>
        <w:t xml:space="preserve">, a także z przepisami art. 6 ust. 4 dotyczącymi późniejszego wykorzystywania danych osobowych. Podobnie, </w:t>
      </w:r>
      <w:r w:rsidRPr="008977FE">
        <w:rPr>
          <w:rFonts w:ascii="Calibri" w:eastAsia="Calibri" w:hAnsi="Calibri" w:cs="Calibri"/>
        </w:rPr>
        <w:t xml:space="preserve">zgodnie z zasadami ograniczenia celu i minimalizacji danych określonymi w art. 5 ust. 1, proces </w:t>
      </w:r>
      <w:r w:rsidR="0047737C" w:rsidRPr="008977FE">
        <w:rPr>
          <w:rFonts w:ascii="Calibri" w:eastAsia="Calibri" w:hAnsi="Calibri" w:cs="Calibri"/>
        </w:rPr>
        <w:t xml:space="preserve">zapewnienia </w:t>
      </w:r>
      <w:r w:rsidRPr="008977FE">
        <w:rPr>
          <w:rFonts w:ascii="Calibri" w:eastAsia="Calibri" w:hAnsi="Calibri" w:cs="Calibri"/>
        </w:rPr>
        <w:t xml:space="preserve">wieku </w:t>
      </w:r>
      <w:r>
        <w:t xml:space="preserve">nie powinien umożliwiać dalszego </w:t>
      </w:r>
      <w:proofErr w:type="spellStart"/>
      <w:r>
        <w:t>targetowania</w:t>
      </w:r>
      <w:proofErr w:type="spellEnd"/>
      <w:r>
        <w:t xml:space="preserve"> lub profilowania </w:t>
      </w:r>
      <w:proofErr w:type="spellStart"/>
      <w:r>
        <w:t>użytkowników,</w:t>
      </w:r>
      <w:r w:rsidRPr="008977FE">
        <w:rPr>
          <w:rFonts w:ascii="Calibri" w:eastAsia="Calibri" w:hAnsi="Calibri" w:cs="Calibri"/>
        </w:rPr>
        <w:t>w</w:t>
      </w:r>
      <w:proofErr w:type="spellEnd"/>
      <w:r w:rsidRPr="008977FE">
        <w:rPr>
          <w:rFonts w:ascii="Calibri" w:eastAsia="Calibri" w:hAnsi="Calibri" w:cs="Calibri"/>
        </w:rPr>
        <w:t xml:space="preserve"> tym zarówno w odniesieniu do celów komercyjnych (np. reklamy spersonalizowane), jak i złośliwego </w:t>
      </w:r>
      <w:proofErr w:type="spellStart"/>
      <w:r w:rsidRPr="008977FE">
        <w:rPr>
          <w:rFonts w:ascii="Calibri" w:eastAsia="Calibri" w:hAnsi="Calibri" w:cs="Calibri"/>
        </w:rPr>
        <w:t>targetowania</w:t>
      </w:r>
      <w:proofErr w:type="spellEnd"/>
      <w:r w:rsidRPr="008977FE">
        <w:rPr>
          <w:rFonts w:ascii="Calibri" w:eastAsia="Calibri" w:hAnsi="Calibri" w:cs="Calibri"/>
        </w:rPr>
        <w:t xml:space="preserve"> (np. uwodzenie, </w:t>
      </w:r>
      <w:r w:rsidR="00894B3A" w:rsidRPr="008977FE">
        <w:rPr>
          <w:rFonts w:ascii="Calibri" w:eastAsia="Calibri" w:hAnsi="Calibri" w:cs="Calibri"/>
        </w:rPr>
        <w:t>zastraszanie</w:t>
      </w:r>
      <w:r w:rsidRPr="008977FE">
        <w:rPr>
          <w:rFonts w:ascii="Calibri" w:eastAsia="Calibri" w:hAnsi="Calibri" w:cs="Calibri"/>
        </w:rPr>
        <w:t xml:space="preserve">, </w:t>
      </w:r>
      <w:r w:rsidR="00894B3A" w:rsidRPr="008977FE">
        <w:rPr>
          <w:rFonts w:ascii="Calibri" w:eastAsia="Calibri" w:hAnsi="Calibri" w:cs="Calibri"/>
        </w:rPr>
        <w:t>prześladowanie</w:t>
      </w:r>
      <w:r w:rsidRPr="008977FE">
        <w:rPr>
          <w:rFonts w:ascii="Calibri" w:eastAsia="Calibri" w:hAnsi="Calibri" w:cs="Calibri"/>
        </w:rPr>
        <w:t xml:space="preserve"> lub nękanie). EROD przypomina, że zgodnie z motywem 75</w:t>
      </w:r>
      <w:r w:rsidR="000332DE" w:rsidRPr="008977FE">
        <w:rPr>
          <w:rFonts w:ascii="Calibri" w:eastAsia="Calibri" w:hAnsi="Calibri" w:cs="Calibri"/>
        </w:rPr>
        <w:t>,</w:t>
      </w:r>
      <w:r w:rsidRPr="008977FE">
        <w:rPr>
          <w:rFonts w:ascii="Calibri" w:eastAsia="Calibri" w:hAnsi="Calibri" w:cs="Calibri"/>
        </w:rPr>
        <w:t xml:space="preserve"> prawa do ochrony danych mogą być szczególnie zagrożone, jeżeli dane osobowe dotyczą osób fizycznych wymagających szczególnego traktowania, w szczególności dzieci.</w:t>
      </w:r>
      <w:r>
        <w:t xml:space="preserve"> </w:t>
      </w:r>
      <w:r w:rsidRPr="008977FE">
        <w:rPr>
          <w:rFonts w:ascii="Calibri" w:eastAsia="Calibri" w:hAnsi="Calibri" w:cs="Calibri"/>
        </w:rPr>
        <w:t xml:space="preserve">Ogólnie rzecz biorąc, nie powinno być możliwe dowiedzenie się więcej niż to konieczne o osobie fizycznej i jej działaniach poprzez profilowanie tej osoby na podstawie informacji wykorzystywanych w procesie </w:t>
      </w:r>
      <w:r w:rsidR="000332DE" w:rsidRPr="008977FE">
        <w:rPr>
          <w:rFonts w:ascii="Calibri" w:eastAsia="Calibri" w:hAnsi="Calibri" w:cs="Calibri"/>
        </w:rPr>
        <w:t>zapewnienia</w:t>
      </w:r>
      <w:r w:rsidRPr="008977FE">
        <w:rPr>
          <w:rFonts w:ascii="Calibri" w:eastAsia="Calibri" w:hAnsi="Calibri" w:cs="Calibri"/>
        </w:rPr>
        <w:t xml:space="preserve"> wieku. Należy to zapewnić w najszerszym możliwym zakresie, również w przypadku naruszenia ochrony danych. </w:t>
      </w:r>
    </w:p>
    <w:p w14:paraId="07B1F6D5" w14:textId="77777777" w:rsidR="001C3C4D" w:rsidRPr="008977FE" w:rsidRDefault="001C3C4D" w:rsidP="003544F2">
      <w:pPr>
        <w:pStyle w:val="Akapitzlist"/>
        <w:spacing w:after="0" w:line="240" w:lineRule="auto"/>
        <w:ind w:left="0"/>
        <w:jc w:val="both"/>
      </w:pPr>
    </w:p>
    <w:p w14:paraId="3E845099" w14:textId="7617087E" w:rsidR="00F72433" w:rsidRDefault="008C123E" w:rsidP="003544F2">
      <w:pPr>
        <w:pStyle w:val="Akapitzlist"/>
        <w:numPr>
          <w:ilvl w:val="0"/>
          <w:numId w:val="7"/>
        </w:numPr>
        <w:spacing w:after="0" w:line="240" w:lineRule="auto"/>
        <w:ind w:left="0"/>
        <w:jc w:val="both"/>
      </w:pPr>
      <w:r>
        <w:t xml:space="preserve">Należy unikać sytuacji braku równowagi sił, aby uniemożliwić </w:t>
      </w:r>
      <w:r w:rsidR="00FA099B">
        <w:t>dostawcom usług</w:t>
      </w:r>
      <w:r>
        <w:t xml:space="preserve"> zmuszanie osób fizycznych do stawienia czoła niepotrzebnym zagrożeniom dla ochrony danych ze względu na brak </w:t>
      </w:r>
      <w:r w:rsidR="00FA099B">
        <w:t>sprawczości</w:t>
      </w:r>
      <w:r>
        <w:t>.</w:t>
      </w:r>
      <w:r>
        <w:rPr>
          <w:rStyle w:val="Odwoanieprzypisudolnego"/>
        </w:rPr>
        <w:footnoteReference w:id="16"/>
      </w:r>
      <w:r>
        <w:t xml:space="preserve"> Jeżeli nie jest to możliwe, sytuacje te należy uznać i uwzględnić za pomocą odpowiednich środków zaradczych.</w:t>
      </w:r>
      <w:r>
        <w:rPr>
          <w:rStyle w:val="Odwoanieprzypisudolnego"/>
        </w:rPr>
        <w:footnoteReference w:id="17"/>
      </w:r>
      <w:r>
        <w:t xml:space="preserve"> Na przykład użytkownikom, którzy nie mogą lub nie chcą </w:t>
      </w:r>
      <w:r>
        <w:lastRenderedPageBreak/>
        <w:t>korzystać z określonej metody zapewnienia wieku, należy zapewnić realne alternatywy w celu udowodnienia ich wieku. Ponadto dostawcy usług powinni regularnie oceniać, czy wybrane metody i technologie, w tym te dostarczane przez osoby trzecie, funkcjonują zgodnie z ich celami, i dostosowywać je, aby zapewnić rzetelność przetwarzania. Osoby trzecie zaangażowane w zapewnianie wieku powinny również starać się wspierać dostawców usług w wypełnianiu ich obowiązków, nie wprowadzając zbędnych zagrożeń dla ochrony danych oraz terminowo powiadamiając o wszelkich istotnych zmianach w swoich politykach, projektach, usługach itp.</w:t>
      </w:r>
    </w:p>
    <w:p w14:paraId="13119DDB" w14:textId="3DD09746" w:rsidR="00AC5E8A" w:rsidRDefault="00AC5E8A" w:rsidP="00AC5E8A">
      <w:pPr>
        <w:pStyle w:val="Akapitzlist"/>
        <w:spacing w:after="0" w:line="240" w:lineRule="auto"/>
        <w:ind w:left="0"/>
        <w:jc w:val="both"/>
      </w:pPr>
    </w:p>
    <w:p w14:paraId="50F2EDCB" w14:textId="2B674A2E" w:rsidR="00F72433" w:rsidRDefault="008C123E" w:rsidP="00AC5E8A">
      <w:pPr>
        <w:pStyle w:val="Nagwek2"/>
        <w:keepNext/>
        <w:numPr>
          <w:ilvl w:val="1"/>
          <w:numId w:val="6"/>
        </w:numPr>
        <w:spacing w:before="0" w:after="0" w:line="240" w:lineRule="auto"/>
        <w:jc w:val="both"/>
      </w:pPr>
      <w:r>
        <w:t>Ograniczenie celu i minimalizacja danych</w:t>
      </w:r>
    </w:p>
    <w:p w14:paraId="6AD0987D" w14:textId="77777777" w:rsidR="00AC5E8A" w:rsidRDefault="00AC5E8A" w:rsidP="003544F2">
      <w:pPr>
        <w:pStyle w:val="P68B1DB1-Normalny4"/>
        <w:keepNext/>
        <w:spacing w:after="0" w:line="240" w:lineRule="auto"/>
        <w:jc w:val="both"/>
        <w:rPr>
          <w:i w:val="0"/>
          <w:iCs/>
        </w:rPr>
      </w:pPr>
    </w:p>
    <w:p w14:paraId="0F074810" w14:textId="5EE8B312" w:rsidR="001C3C4D" w:rsidRDefault="00A44165" w:rsidP="003544F2">
      <w:pPr>
        <w:pStyle w:val="P68B1DB1-Normalny4"/>
        <w:keepNext/>
        <w:spacing w:after="0" w:line="240" w:lineRule="auto"/>
        <w:jc w:val="both"/>
        <w:rPr>
          <w:i w:val="0"/>
          <w:iCs/>
        </w:rPr>
      </w:pPr>
      <w:r w:rsidRPr="00432F43">
        <w:rPr>
          <w:i w:val="0"/>
          <w:iCs/>
        </w:rPr>
        <w:t>Dostawcy usług</w:t>
      </w:r>
      <w:r w:rsidR="008C123E" w:rsidRPr="00432F43">
        <w:rPr>
          <w:i w:val="0"/>
          <w:iCs/>
        </w:rPr>
        <w:t xml:space="preserve"> i wszelkie osoby trzecie zaangażowane w zapewnianie wieku powinny przetwarzać wyłącznie </w:t>
      </w:r>
      <w:r w:rsidR="008C123E" w:rsidRPr="001B6C25">
        <w:t>atrybuty</w:t>
      </w:r>
      <w:r w:rsidR="008C123E" w:rsidRPr="00432F43">
        <w:rPr>
          <w:i w:val="0"/>
          <w:iCs/>
        </w:rPr>
        <w:t xml:space="preserve"> związane z wiekiem, które są absolutnie niezbędne do ich </w:t>
      </w:r>
      <w:r w:rsidR="008C123E" w:rsidRPr="00432F43">
        <w:rPr>
          <w:rFonts w:ascii="Calibri" w:eastAsia="Calibri" w:hAnsi="Calibri" w:cs="Calibri"/>
          <w:i w:val="0"/>
          <w:iCs/>
        </w:rPr>
        <w:t xml:space="preserve">określonego, wyraźnego i </w:t>
      </w:r>
      <w:r w:rsidR="0039056B" w:rsidRPr="00432F43">
        <w:rPr>
          <w:rFonts w:ascii="Calibri" w:eastAsia="Calibri" w:hAnsi="Calibri" w:cs="Calibri"/>
          <w:i w:val="0"/>
          <w:iCs/>
        </w:rPr>
        <w:t xml:space="preserve">prawnie </w:t>
      </w:r>
      <w:r w:rsidR="008C123E" w:rsidRPr="00432F43">
        <w:rPr>
          <w:rFonts w:ascii="Calibri" w:eastAsia="Calibri" w:hAnsi="Calibri" w:cs="Calibri"/>
          <w:i w:val="0"/>
          <w:iCs/>
        </w:rPr>
        <w:t xml:space="preserve">uzasadnionego </w:t>
      </w:r>
      <w:r w:rsidR="008C123E" w:rsidRPr="00432F43">
        <w:rPr>
          <w:i w:val="0"/>
          <w:iCs/>
        </w:rPr>
        <w:t>celu.</w:t>
      </w:r>
    </w:p>
    <w:p w14:paraId="205353A5" w14:textId="77777777" w:rsidR="001C3C4D" w:rsidRPr="00432F43" w:rsidRDefault="001C3C4D" w:rsidP="003544F2">
      <w:pPr>
        <w:pStyle w:val="P68B1DB1-Normalny4"/>
        <w:keepNext/>
        <w:spacing w:after="0" w:line="240" w:lineRule="auto"/>
        <w:jc w:val="both"/>
        <w:rPr>
          <w:i w:val="0"/>
          <w:iCs/>
        </w:rPr>
      </w:pPr>
    </w:p>
    <w:p w14:paraId="42FB94B7" w14:textId="202A9FD2" w:rsidR="008977FE" w:rsidRDefault="008C123E" w:rsidP="003544F2">
      <w:pPr>
        <w:pStyle w:val="Akapitzlist"/>
        <w:numPr>
          <w:ilvl w:val="0"/>
          <w:numId w:val="7"/>
        </w:numPr>
        <w:spacing w:after="0" w:line="240" w:lineRule="auto"/>
        <w:ind w:left="0"/>
        <w:jc w:val="both"/>
      </w:pPr>
      <w:r>
        <w:t xml:space="preserve">W większości przypadków celem zapewnienia wieku jest podejmowanie związanych z wiekiem decyzji dotyczących kontroli dostępu, zapobieganie szkodom w </w:t>
      </w:r>
      <w:proofErr w:type="spellStart"/>
      <w:r>
        <w:t>internecie</w:t>
      </w:r>
      <w:proofErr w:type="spellEnd"/>
      <w:r>
        <w:t xml:space="preserve"> dla dzieci, oferowanie odpowiedniego projektu lub doświadczenia w zależności od wieku itp. Niezależnie od przypadku użycia cel przetwarzania danych osobowych powinien być konkretny i wyraźny (art. 5 ust. 1 lit. b) RODO). Po zebraniu danych osobowych nie mogą one być dalej przetwarzane ani łączone z dodatkowymi danymi w sposób niezgodny z tymi celami. Aby ograniczyć możliwość zmiany przeznaczenia danych osobowych, należy stosować środki techniczne, takie jak technologie służące wzmocnieniu ochrony prywatności („PET”).</w:t>
      </w:r>
      <w:r>
        <w:rPr>
          <w:rStyle w:val="Odwoanieprzypisudolnego"/>
        </w:rPr>
        <w:footnoteReference w:id="18"/>
      </w:r>
      <w:r w:rsidR="00A44165">
        <w:t xml:space="preserve"> </w:t>
      </w:r>
      <w:r>
        <w:t>Należy również wdrożyć środki organizacyjne, takie jak polityki i zobowiązania umowne, które ograniczają ponowne wykorzystywanie danych osobowych.</w:t>
      </w:r>
    </w:p>
    <w:p w14:paraId="5CFA8BFA" w14:textId="77777777" w:rsidR="001C3C4D" w:rsidRDefault="001C3C4D" w:rsidP="003544F2">
      <w:pPr>
        <w:pStyle w:val="Akapitzlist"/>
        <w:spacing w:after="0" w:line="240" w:lineRule="auto"/>
        <w:ind w:left="0"/>
        <w:jc w:val="both"/>
      </w:pPr>
    </w:p>
    <w:p w14:paraId="2ED9054D" w14:textId="12D8CF23" w:rsidR="008977FE" w:rsidRDefault="008C123E" w:rsidP="003544F2">
      <w:pPr>
        <w:pStyle w:val="Akapitzlist"/>
        <w:numPr>
          <w:ilvl w:val="0"/>
          <w:numId w:val="7"/>
        </w:numPr>
        <w:spacing w:after="0" w:line="240" w:lineRule="auto"/>
        <w:ind w:left="0"/>
        <w:jc w:val="both"/>
      </w:pPr>
      <w:r>
        <w:t xml:space="preserve">Atrybut związany z wiekiem to dowolny atrybut wskazujący, że osoba fizyczna jest w określonym wieku, powyżej lub poniżej określonego wieku lub w określonym przedziale wiekowym. Specyfikacja celu określi odpowiednie i niezbędne atrybuty związane z wiekiem, które należy gromadzić. </w:t>
      </w:r>
      <w:r w:rsidRPr="008977FE">
        <w:rPr>
          <w:rFonts w:ascii="Calibri" w:eastAsia="Calibri" w:hAnsi="Calibri" w:cs="Calibri"/>
        </w:rPr>
        <w:t xml:space="preserve">Pozwoli to również administratorowi ocenić proporcjonalność </w:t>
      </w:r>
      <w:r>
        <w:t>procesu zapewnienia wieku. Korzyści wynikające z tego procesu nie powinny być równoważone żadnymi niedogodnościami związanymi z korzystaniem z praw podstawowych</w:t>
      </w:r>
      <w:r>
        <w:rPr>
          <w:rStyle w:val="Odwoanieprzypisudolnego"/>
        </w:rPr>
        <w:footnoteReference w:id="19"/>
      </w:r>
      <w:r>
        <w:t xml:space="preserve"> (zob. sekcja 2.2 powyżej).</w:t>
      </w:r>
    </w:p>
    <w:p w14:paraId="228F38F9" w14:textId="77777777" w:rsidR="001C3C4D" w:rsidRDefault="001C3C4D" w:rsidP="003544F2">
      <w:pPr>
        <w:pStyle w:val="Akapitzlist"/>
        <w:spacing w:after="0" w:line="240" w:lineRule="auto"/>
        <w:ind w:left="0"/>
        <w:jc w:val="both"/>
      </w:pPr>
    </w:p>
    <w:p w14:paraId="75FB7700" w14:textId="6294E627" w:rsidR="00F72433" w:rsidRDefault="008C123E" w:rsidP="003544F2">
      <w:pPr>
        <w:pStyle w:val="Akapitzlist"/>
        <w:numPr>
          <w:ilvl w:val="0"/>
          <w:numId w:val="7"/>
        </w:numPr>
        <w:spacing w:after="0" w:line="240" w:lineRule="auto"/>
        <w:ind w:left="0"/>
        <w:jc w:val="both"/>
      </w:pPr>
      <w:r>
        <w:t>Administrator powinien zatem gromadzić wyłącznie dane osobowe, które są niezbędne, adekwatne i istotne do celów, które mają być realizowane. W ten sposób minimalizacja danych pomaga uzasadnić i wdrożyć zasady konieczności</w:t>
      </w:r>
      <w:r w:rsidR="00A44165">
        <w:rPr>
          <w:rStyle w:val="Odwoanieprzypisudolnego"/>
        </w:rPr>
        <w:footnoteReference w:id="20"/>
      </w:r>
      <w:r>
        <w:t xml:space="preserve"> i proporcjonalności. Na przykład </w:t>
      </w:r>
      <w:r w:rsidR="00A44165">
        <w:t>dostawca usług</w:t>
      </w:r>
      <w:r>
        <w:t xml:space="preserve"> może tylko wiedzieć, czy użytkownik przekroczył lub nie przekroczył progu wiekowego. Można to wdrożyć za pomocą </w:t>
      </w:r>
      <w:proofErr w:type="spellStart"/>
      <w:r>
        <w:t>tokenizowanego</w:t>
      </w:r>
      <w:proofErr w:type="spellEnd"/>
      <w:r>
        <w:t xml:space="preserve"> podejścia opartego na udziale </w:t>
      </w:r>
      <w:r w:rsidR="00A44165">
        <w:t>dostawcy usług</w:t>
      </w:r>
      <w:r>
        <w:t xml:space="preserve"> będącego osobą trzecią, w którym </w:t>
      </w:r>
      <w:r w:rsidR="00066286">
        <w:t>dostawca usług</w:t>
      </w:r>
      <w:r>
        <w:t xml:space="preserve"> widzi jedynie funkcjonalny wynik procesu zapewnienia</w:t>
      </w:r>
      <w:r w:rsidR="00656FD6">
        <w:t xml:space="preserve"> </w:t>
      </w:r>
      <w:r>
        <w:t>wieku (np. „przekroczenie” lub „poniżej” progu wieku).</w:t>
      </w:r>
      <w:r>
        <w:rPr>
          <w:rStyle w:val="Odwoanieprzypisudolnego"/>
        </w:rPr>
        <w:footnoteReference w:id="21"/>
      </w:r>
      <w:r>
        <w:t xml:space="preserve"> Różne podejścia mogą być istotne, gdy usługodawca musi wiedzieć, czy użytkownik znajduje się w określonym przedziale wiekowym, czy też urodził się w określonym roku.</w:t>
      </w:r>
    </w:p>
    <w:p w14:paraId="6E79F7B8" w14:textId="28E1A606" w:rsidR="00AC5E8A" w:rsidRDefault="00AC5E8A" w:rsidP="00AC5E8A">
      <w:pPr>
        <w:spacing w:after="0" w:line="240" w:lineRule="auto"/>
        <w:jc w:val="both"/>
      </w:pPr>
    </w:p>
    <w:p w14:paraId="2972A54A" w14:textId="054E4F25" w:rsidR="00F72433" w:rsidRDefault="008C123E" w:rsidP="00AC5E8A">
      <w:pPr>
        <w:pStyle w:val="Nagwek2"/>
        <w:keepNext/>
        <w:numPr>
          <w:ilvl w:val="1"/>
          <w:numId w:val="6"/>
        </w:numPr>
        <w:spacing w:before="0" w:after="0" w:line="240" w:lineRule="auto"/>
        <w:jc w:val="both"/>
      </w:pPr>
      <w:r>
        <w:lastRenderedPageBreak/>
        <w:t xml:space="preserve">Skuteczność </w:t>
      </w:r>
      <w:r w:rsidR="00066286">
        <w:t>zapewnienia</w:t>
      </w:r>
      <w:r>
        <w:t xml:space="preserve"> wieku</w:t>
      </w:r>
    </w:p>
    <w:p w14:paraId="4576DF02" w14:textId="77777777" w:rsidR="00AC5E8A" w:rsidRDefault="00AC5E8A" w:rsidP="003544F2">
      <w:pPr>
        <w:pStyle w:val="P68B1DB1-Normalny4"/>
        <w:keepNext/>
        <w:spacing w:after="0" w:line="240" w:lineRule="auto"/>
        <w:jc w:val="both"/>
        <w:rPr>
          <w:i w:val="0"/>
          <w:iCs/>
        </w:rPr>
      </w:pPr>
    </w:p>
    <w:p w14:paraId="66D08091" w14:textId="0693549A" w:rsidR="00F72433" w:rsidRPr="00432F43" w:rsidRDefault="00066286" w:rsidP="003544F2">
      <w:pPr>
        <w:pStyle w:val="P68B1DB1-Normalny4"/>
        <w:keepNext/>
        <w:spacing w:after="0" w:line="240" w:lineRule="auto"/>
        <w:jc w:val="both"/>
        <w:rPr>
          <w:i w:val="0"/>
          <w:iCs/>
        </w:rPr>
      </w:pPr>
      <w:r w:rsidRPr="00432F43">
        <w:rPr>
          <w:i w:val="0"/>
          <w:iCs/>
        </w:rPr>
        <w:t>Zapewnienie</w:t>
      </w:r>
      <w:r w:rsidR="008C123E" w:rsidRPr="00432F43">
        <w:rPr>
          <w:i w:val="0"/>
          <w:iCs/>
        </w:rPr>
        <w:t xml:space="preserve"> wieku powinn</w:t>
      </w:r>
      <w:r w:rsidRPr="00432F43">
        <w:rPr>
          <w:i w:val="0"/>
          <w:iCs/>
        </w:rPr>
        <w:t>o</w:t>
      </w:r>
      <w:r w:rsidR="008C123E" w:rsidRPr="00432F43">
        <w:rPr>
          <w:i w:val="0"/>
          <w:iCs/>
        </w:rPr>
        <w:t xml:space="preserve"> wyraźnie osiągnąć poziom skuteczności adekwatny do celu, dla którego jest przeprowadzan</w:t>
      </w:r>
      <w:r w:rsidRPr="00432F43">
        <w:rPr>
          <w:i w:val="0"/>
          <w:iCs/>
        </w:rPr>
        <w:t>e</w:t>
      </w:r>
      <w:r w:rsidR="008C123E" w:rsidRPr="00432F43">
        <w:rPr>
          <w:i w:val="0"/>
          <w:iCs/>
        </w:rPr>
        <w:t>.</w:t>
      </w:r>
    </w:p>
    <w:p w14:paraId="67E12E5D" w14:textId="77777777" w:rsidR="00F72433" w:rsidRDefault="00F72433" w:rsidP="003544F2">
      <w:pPr>
        <w:spacing w:after="0" w:line="240" w:lineRule="auto"/>
        <w:jc w:val="both"/>
        <w:rPr>
          <w:i/>
        </w:rPr>
      </w:pPr>
    </w:p>
    <w:p w14:paraId="59C573A4" w14:textId="61DB79F5" w:rsidR="00656FD6" w:rsidRDefault="008C123E" w:rsidP="00AC5E8A">
      <w:pPr>
        <w:pStyle w:val="NormalnyWeb"/>
        <w:numPr>
          <w:ilvl w:val="0"/>
          <w:numId w:val="7"/>
        </w:numPr>
        <w:shd w:val="clear" w:color="auto" w:fill="FFFFFF" w:themeFill="background1"/>
        <w:spacing w:before="0" w:beforeAutospacing="0" w:after="0" w:afterAutospacing="0"/>
        <w:ind w:left="-3"/>
        <w:jc w:val="both"/>
        <w:rPr>
          <w:rFonts w:ascii="Calibri" w:eastAsiaTheme="minorEastAsia" w:hAnsi="Calibri" w:cs="Calibri"/>
          <w:sz w:val="22"/>
        </w:rPr>
      </w:pPr>
      <w:r w:rsidRPr="00656FD6">
        <w:rPr>
          <w:rFonts w:ascii="Calibri" w:eastAsiaTheme="minorEastAsia" w:hAnsi="Calibri" w:cs="Calibri"/>
          <w:sz w:val="22"/>
        </w:rPr>
        <w:t>Środki, za pomocą których przeprowadzan</w:t>
      </w:r>
      <w:r w:rsidR="00066286" w:rsidRPr="00656FD6">
        <w:rPr>
          <w:rFonts w:ascii="Calibri" w:eastAsiaTheme="minorEastAsia" w:hAnsi="Calibri" w:cs="Calibri"/>
          <w:sz w:val="22"/>
        </w:rPr>
        <w:t>e</w:t>
      </w:r>
      <w:r w:rsidRPr="00656FD6">
        <w:rPr>
          <w:rFonts w:ascii="Calibri" w:eastAsiaTheme="minorEastAsia" w:hAnsi="Calibri" w:cs="Calibri"/>
          <w:sz w:val="22"/>
        </w:rPr>
        <w:t xml:space="preserve"> jest </w:t>
      </w:r>
      <w:r w:rsidR="00066286" w:rsidRPr="00656FD6">
        <w:rPr>
          <w:rFonts w:ascii="Calibri" w:eastAsiaTheme="minorEastAsia" w:hAnsi="Calibri" w:cs="Calibri"/>
          <w:sz w:val="22"/>
        </w:rPr>
        <w:t>zapewnienie</w:t>
      </w:r>
      <w:r w:rsidRPr="00656FD6">
        <w:rPr>
          <w:rFonts w:ascii="Calibri" w:eastAsiaTheme="minorEastAsia" w:hAnsi="Calibri" w:cs="Calibri"/>
          <w:sz w:val="22"/>
        </w:rPr>
        <w:t xml:space="preserve"> wieku, powinny być odpowiednie do osiągnięcia celu przetwarzania. W szczególności skuteczność wszelkich prawnie umocowanych środków zapewnienia wieku należy uznać za warunek wstępny spełnienia zasad konieczności</w:t>
      </w:r>
      <w:r w:rsidRPr="00656FD6">
        <w:rPr>
          <w:rStyle w:val="Odwoanieprzypisudolnego"/>
          <w:rFonts w:ascii="Calibri" w:eastAsiaTheme="minorEastAsia" w:hAnsi="Calibri" w:cs="Calibri"/>
          <w:sz w:val="22"/>
        </w:rPr>
        <w:footnoteReference w:id="22"/>
      </w:r>
      <w:r w:rsidRPr="00656FD6">
        <w:rPr>
          <w:rFonts w:ascii="Calibri" w:eastAsiaTheme="minorEastAsia" w:hAnsi="Calibri" w:cs="Calibri"/>
          <w:sz w:val="22"/>
        </w:rPr>
        <w:t xml:space="preserve"> i proporcjonalności.</w:t>
      </w:r>
      <w:r w:rsidRPr="00656FD6">
        <w:rPr>
          <w:rStyle w:val="Odwoanieprzypisudolnego"/>
          <w:rFonts w:ascii="Calibri" w:eastAsiaTheme="minorEastAsia" w:hAnsi="Calibri" w:cs="Calibri"/>
          <w:sz w:val="22"/>
        </w:rPr>
        <w:footnoteReference w:id="23"/>
      </w:r>
    </w:p>
    <w:p w14:paraId="13DA207C" w14:textId="77777777" w:rsidR="001C3C4D" w:rsidRPr="00656FD6" w:rsidRDefault="001C3C4D" w:rsidP="003544F2">
      <w:pPr>
        <w:pStyle w:val="NormalnyWeb"/>
        <w:shd w:val="clear" w:color="auto" w:fill="FFFFFF" w:themeFill="background1"/>
        <w:spacing w:before="0" w:beforeAutospacing="0" w:after="0" w:afterAutospacing="0"/>
        <w:ind w:left="360"/>
        <w:jc w:val="both"/>
        <w:rPr>
          <w:rFonts w:ascii="Calibri" w:eastAsiaTheme="minorEastAsia" w:hAnsi="Calibri" w:cs="Calibri"/>
          <w:sz w:val="22"/>
        </w:rPr>
      </w:pPr>
    </w:p>
    <w:p w14:paraId="403DD822" w14:textId="427691D5" w:rsidR="00F72433" w:rsidRPr="00656FD6" w:rsidRDefault="008C123E" w:rsidP="00AC5E8A">
      <w:pPr>
        <w:pStyle w:val="NormalnyWeb"/>
        <w:numPr>
          <w:ilvl w:val="0"/>
          <w:numId w:val="7"/>
        </w:numPr>
        <w:shd w:val="clear" w:color="auto" w:fill="FFFFFF" w:themeFill="background1"/>
        <w:spacing w:before="0" w:beforeAutospacing="0" w:after="0" w:afterAutospacing="0"/>
        <w:ind w:left="-3"/>
        <w:jc w:val="both"/>
        <w:rPr>
          <w:rFonts w:ascii="Calibri" w:eastAsiaTheme="minorEastAsia" w:hAnsi="Calibri" w:cs="Calibri"/>
          <w:sz w:val="22"/>
        </w:rPr>
      </w:pPr>
      <w:r w:rsidRPr="00656FD6">
        <w:rPr>
          <w:rFonts w:ascii="Calibri" w:hAnsi="Calibri"/>
        </w:rPr>
        <w:t>Skuteczność zapewnienia wieku należy oceniać w odniesieniu do kilku aspektów, w tym:</w:t>
      </w:r>
    </w:p>
    <w:p w14:paraId="1F9968C5" w14:textId="77777777" w:rsidR="00F72433" w:rsidRDefault="00F72433" w:rsidP="003544F2">
      <w:pPr>
        <w:pStyle w:val="NormalnyWeb"/>
        <w:shd w:val="clear" w:color="auto" w:fill="FFFFFF"/>
        <w:spacing w:before="0" w:beforeAutospacing="0" w:after="0" w:afterAutospacing="0"/>
        <w:jc w:val="both"/>
        <w:rPr>
          <w:rFonts w:ascii="Calibri" w:eastAsiaTheme="minorEastAsia" w:hAnsi="Calibri" w:cs="Calibri"/>
          <w:sz w:val="22"/>
        </w:rPr>
      </w:pPr>
    </w:p>
    <w:p w14:paraId="5B550DEE" w14:textId="024208D9" w:rsidR="00F72433" w:rsidRDefault="008C123E" w:rsidP="00A60B22">
      <w:pPr>
        <w:pStyle w:val="NormalnyWeb"/>
        <w:numPr>
          <w:ilvl w:val="0"/>
          <w:numId w:val="3"/>
        </w:numPr>
        <w:shd w:val="clear" w:color="auto" w:fill="FFFFFF" w:themeFill="background1"/>
        <w:spacing w:before="0" w:beforeAutospacing="0" w:after="0" w:afterAutospacing="0"/>
        <w:ind w:left="360"/>
        <w:jc w:val="both"/>
        <w:rPr>
          <w:rFonts w:ascii="Calibri" w:eastAsiaTheme="minorEastAsia" w:hAnsi="Calibri" w:cs="Calibri"/>
          <w:sz w:val="22"/>
        </w:rPr>
      </w:pPr>
      <w:r>
        <w:rPr>
          <w:rFonts w:ascii="Calibri" w:eastAsiaTheme="minorEastAsia" w:hAnsi="Calibri" w:cs="Calibri"/>
          <w:sz w:val="22"/>
        </w:rPr>
        <w:t xml:space="preserve">Dostępność. </w:t>
      </w:r>
      <w:r w:rsidR="00066286">
        <w:rPr>
          <w:rFonts w:ascii="Calibri" w:eastAsiaTheme="minorEastAsia" w:hAnsi="Calibri" w:cs="Calibri"/>
          <w:sz w:val="22"/>
        </w:rPr>
        <w:t>Zapewnienie</w:t>
      </w:r>
      <w:r>
        <w:rPr>
          <w:rFonts w:ascii="Calibri" w:eastAsiaTheme="minorEastAsia" w:hAnsi="Calibri" w:cs="Calibri"/>
          <w:sz w:val="22"/>
        </w:rPr>
        <w:t xml:space="preserve"> wieku powinn</w:t>
      </w:r>
      <w:r w:rsidR="00066286">
        <w:rPr>
          <w:rFonts w:ascii="Calibri" w:eastAsiaTheme="minorEastAsia" w:hAnsi="Calibri" w:cs="Calibri"/>
          <w:sz w:val="22"/>
        </w:rPr>
        <w:t>o</w:t>
      </w:r>
      <w:r>
        <w:rPr>
          <w:rFonts w:ascii="Calibri" w:eastAsiaTheme="minorEastAsia" w:hAnsi="Calibri" w:cs="Calibri"/>
          <w:sz w:val="22"/>
        </w:rPr>
        <w:t xml:space="preserve"> być szeroko dostępn</w:t>
      </w:r>
      <w:r w:rsidR="00066286">
        <w:rPr>
          <w:rFonts w:ascii="Calibri" w:eastAsiaTheme="minorEastAsia" w:hAnsi="Calibri" w:cs="Calibri"/>
          <w:sz w:val="22"/>
        </w:rPr>
        <w:t>e</w:t>
      </w:r>
      <w:r>
        <w:rPr>
          <w:rFonts w:ascii="Calibri" w:eastAsiaTheme="minorEastAsia" w:hAnsi="Calibri" w:cs="Calibri"/>
          <w:sz w:val="22"/>
        </w:rPr>
        <w:t xml:space="preserve"> dla osób fizycznych w celu weryfikacji ich wieku lub udowodnienia, że spełniają wymóg związany z wiekiem. W przypadku gdy niektóre kategorie osób są narażone na dyskryminację ze względu na określoną metodę zapewnienia wieku, na przykład dlatego, że nie posiadają odpowiedniego dokumentu tożsamości lub telefonu komórkowego, lub ze względu na niepełnosprawność, należy udostępnić alternatywne metody zapewnienia wieku, o ile jest to racjonalnie możliwe, z zachowaniem odpowiedniego poziomu prywatności, bezpieczeństwa i ochrony. Rozwiązania zapewniające wiek powinny być również zgodne z wszelkimi obowiązującymi przepisami dotyczącymi dostępności.</w:t>
      </w:r>
      <w:r>
        <w:rPr>
          <w:rStyle w:val="Odwoanieprzypisudolnego"/>
          <w:rFonts w:ascii="Calibri" w:eastAsiaTheme="minorEastAsia" w:hAnsi="Calibri" w:cs="Calibri"/>
          <w:sz w:val="22"/>
        </w:rPr>
        <w:footnoteReference w:id="24"/>
      </w:r>
    </w:p>
    <w:p w14:paraId="69043E6C" w14:textId="3109449F" w:rsidR="00F72433" w:rsidRDefault="00CB2802" w:rsidP="00A60B22">
      <w:pPr>
        <w:pStyle w:val="P68B1DB1-NormalnyWeb5"/>
        <w:numPr>
          <w:ilvl w:val="0"/>
          <w:numId w:val="3"/>
        </w:numPr>
        <w:shd w:val="clear" w:color="auto" w:fill="FFFFFF" w:themeFill="background1"/>
        <w:spacing w:before="0" w:beforeAutospacing="0" w:after="0" w:afterAutospacing="0"/>
        <w:ind w:left="360"/>
        <w:jc w:val="both"/>
      </w:pPr>
      <w:r>
        <w:t>Wiarygodność</w:t>
      </w:r>
      <w:r w:rsidR="008C123E">
        <w:t xml:space="preserve">. Zgodnie z zasadą </w:t>
      </w:r>
      <w:r w:rsidR="00FA692E">
        <w:t>prawidłowości</w:t>
      </w:r>
      <w:r w:rsidR="008C123E">
        <w:t xml:space="preserve"> (art. 5 lit. d) RODO) każda metoda, której celem jest ustalenie, czy osoba fizyczna spełnia wymóg związany z wiekiem, powinna zapewniać odpowiedni i spójny poziom </w:t>
      </w:r>
      <w:r w:rsidR="00294C6A">
        <w:t xml:space="preserve">prawidłowości </w:t>
      </w:r>
      <w:r w:rsidR="008C123E">
        <w:t xml:space="preserve">przy ustalaniu, czy spełnia ten wymóg. Należy udostępnić odpowiednie mechanizmy dochodzenia roszczeń, zwłaszcza gdy zautomatyzowane podejmowanie decyzji może mieć znaczący wpływ na użytkowników, na przykład gdy ich atrybuty związane z wiekiem nie zostały odpowiednio ustalone (zob. sekcja 2.7 poniżej). </w:t>
      </w:r>
    </w:p>
    <w:p w14:paraId="62DBA2B4" w14:textId="7D5CDA14" w:rsidR="00F72433" w:rsidRDefault="00066286" w:rsidP="00A60B22">
      <w:pPr>
        <w:pStyle w:val="NormalnyWeb"/>
        <w:numPr>
          <w:ilvl w:val="0"/>
          <w:numId w:val="3"/>
        </w:numPr>
        <w:shd w:val="clear" w:color="auto" w:fill="FFFFFF" w:themeFill="background1"/>
        <w:spacing w:before="0" w:beforeAutospacing="0" w:after="0" w:afterAutospacing="0"/>
        <w:ind w:left="360"/>
        <w:jc w:val="both"/>
        <w:rPr>
          <w:rFonts w:ascii="Calibri" w:eastAsiaTheme="minorEastAsia" w:hAnsi="Calibri" w:cs="Calibri"/>
          <w:sz w:val="22"/>
        </w:rPr>
      </w:pPr>
      <w:r>
        <w:rPr>
          <w:rFonts w:ascii="Calibri" w:eastAsiaTheme="minorEastAsia" w:hAnsi="Calibri" w:cs="Calibri"/>
          <w:sz w:val="22"/>
        </w:rPr>
        <w:t>Odporność</w:t>
      </w:r>
      <w:r w:rsidR="008C123E">
        <w:rPr>
          <w:rFonts w:ascii="Calibri" w:eastAsiaTheme="minorEastAsia" w:hAnsi="Calibri" w:cs="Calibri"/>
          <w:sz w:val="22"/>
        </w:rPr>
        <w:t xml:space="preserve">. Zapewnienie wieku powinno być w stanie poradzić sobie z nieoczekiwanymi sytuacjami i oprzeć się racjonalnie prawdopodobnym próbom oszukania lub obejścia systemu. Należy zauważyć, że </w:t>
      </w:r>
      <w:r>
        <w:rPr>
          <w:rFonts w:ascii="Calibri" w:eastAsiaTheme="minorEastAsia" w:hAnsi="Calibri" w:cs="Calibri"/>
          <w:sz w:val="22"/>
        </w:rPr>
        <w:t>odporność</w:t>
      </w:r>
      <w:r w:rsidR="008C123E">
        <w:rPr>
          <w:rFonts w:ascii="Calibri" w:eastAsiaTheme="minorEastAsia" w:hAnsi="Calibri" w:cs="Calibri"/>
          <w:sz w:val="22"/>
        </w:rPr>
        <w:t xml:space="preserve"> ma niewielkie znaczenie w kontekście oświadczenia własnego dotyczącego atrybutu związanego z wiekiem, ponieważ wiarygodność takiej metody zależy głównie od dobrej woli użytkownika.</w:t>
      </w:r>
      <w:r w:rsidR="008C123E">
        <w:rPr>
          <w:rStyle w:val="Odwoanieprzypisudolnego"/>
          <w:rFonts w:ascii="Calibri" w:eastAsiaTheme="minorEastAsia" w:hAnsi="Calibri" w:cs="Calibri"/>
          <w:sz w:val="22"/>
        </w:rPr>
        <w:footnoteReference w:id="25"/>
      </w:r>
    </w:p>
    <w:p w14:paraId="1EFDBBB1" w14:textId="77777777" w:rsidR="00F72433" w:rsidRDefault="008C123E" w:rsidP="003544F2">
      <w:pPr>
        <w:pStyle w:val="P68B1DB1-NormalnyWeb5"/>
        <w:shd w:val="clear" w:color="auto" w:fill="FFFFFF"/>
        <w:spacing w:before="0" w:beforeAutospacing="0" w:after="0" w:afterAutospacing="0"/>
        <w:jc w:val="both"/>
      </w:pPr>
      <w:r>
        <w:t> </w:t>
      </w:r>
    </w:p>
    <w:p w14:paraId="07164926" w14:textId="7AF6DB6C" w:rsidR="00F72433" w:rsidRDefault="008C123E" w:rsidP="003544F2">
      <w:pPr>
        <w:pStyle w:val="P68B1DB1-NormalnyWeb6"/>
        <w:shd w:val="clear" w:color="auto" w:fill="FFFFFF" w:themeFill="background1"/>
        <w:spacing w:before="0" w:beforeAutospacing="0" w:after="0" w:afterAutospacing="0"/>
        <w:jc w:val="both"/>
      </w:pPr>
      <w:r>
        <w:t xml:space="preserve">Ponadto </w:t>
      </w:r>
      <w:r w:rsidR="00CB2802">
        <w:t>dostawcy usług</w:t>
      </w:r>
      <w:r>
        <w:t xml:space="preserve"> wdrażający </w:t>
      </w:r>
      <w:r w:rsidR="00294C6A">
        <w:t>mechanizm zapewnienia wieku</w:t>
      </w:r>
      <w:r>
        <w:t xml:space="preserve"> oraz wszelkie osoby trzecie zaangażowane w ten proces powinny być w stanie wykazać jego skuteczność </w:t>
      </w:r>
      <w:r w:rsidR="00CB2802">
        <w:t>oraz</w:t>
      </w:r>
      <w:r>
        <w:t xml:space="preserve"> </w:t>
      </w:r>
      <w:r w:rsidR="00CB2802">
        <w:t xml:space="preserve">zapewnić </w:t>
      </w:r>
      <w:r>
        <w:t>przejrzyst</w:t>
      </w:r>
      <w:r w:rsidR="00CB2802">
        <w:t>ość</w:t>
      </w:r>
      <w:r>
        <w:t xml:space="preserve"> w odniesieniu do środków, za pomocą których osiągają odpowiedni poziom dostępności, wiarygodności i </w:t>
      </w:r>
      <w:r w:rsidR="00CB2802">
        <w:t>odporności</w:t>
      </w:r>
      <w:r>
        <w:t xml:space="preserve"> (zob. sekcja 2.10).</w:t>
      </w:r>
    </w:p>
    <w:p w14:paraId="6C109066" w14:textId="77777777" w:rsidR="00AC5E8A" w:rsidRDefault="00AC5E8A" w:rsidP="003544F2">
      <w:pPr>
        <w:pStyle w:val="P68B1DB1-NormalnyWeb6"/>
        <w:shd w:val="clear" w:color="auto" w:fill="FFFFFF" w:themeFill="background1"/>
        <w:spacing w:before="0" w:beforeAutospacing="0" w:after="0" w:afterAutospacing="0"/>
        <w:jc w:val="both"/>
        <w:rPr>
          <w:rFonts w:eastAsiaTheme="minorEastAsia"/>
        </w:rPr>
      </w:pPr>
    </w:p>
    <w:p w14:paraId="1C6FE349" w14:textId="6B4CBF69" w:rsidR="00F72433" w:rsidRDefault="008C123E" w:rsidP="00432F43">
      <w:pPr>
        <w:pStyle w:val="Nagwek2"/>
        <w:keepNext/>
        <w:numPr>
          <w:ilvl w:val="1"/>
          <w:numId w:val="6"/>
        </w:numPr>
        <w:spacing w:before="0" w:after="0" w:line="240" w:lineRule="auto"/>
        <w:ind w:left="578" w:hanging="578"/>
        <w:jc w:val="both"/>
      </w:pPr>
      <w:r>
        <w:lastRenderedPageBreak/>
        <w:t xml:space="preserve">Zgodność z prawem, </w:t>
      </w:r>
      <w:r w:rsidR="00CB2802">
        <w:t>rzetelność</w:t>
      </w:r>
      <w:r>
        <w:t xml:space="preserve"> i przejrzystość </w:t>
      </w:r>
    </w:p>
    <w:p w14:paraId="02BC5037" w14:textId="77777777" w:rsidR="00AC5E8A" w:rsidRDefault="00AC5E8A" w:rsidP="003544F2">
      <w:pPr>
        <w:keepNext/>
        <w:spacing w:after="0" w:line="240" w:lineRule="auto"/>
        <w:jc w:val="both"/>
        <w:rPr>
          <w:iCs/>
        </w:rPr>
      </w:pPr>
    </w:p>
    <w:p w14:paraId="115C2D2F" w14:textId="1CD22378" w:rsidR="00F72433" w:rsidRPr="008226EE" w:rsidRDefault="008C123E" w:rsidP="003544F2">
      <w:pPr>
        <w:keepNext/>
        <w:spacing w:after="0" w:line="240" w:lineRule="auto"/>
        <w:jc w:val="both"/>
        <w:rPr>
          <w:rFonts w:ascii="Calibri" w:eastAsia="Calibri" w:hAnsi="Calibri" w:cs="Calibri"/>
          <w:iCs/>
          <w:highlight w:val="yellow"/>
        </w:rPr>
      </w:pPr>
      <w:r w:rsidRPr="00432F43">
        <w:rPr>
          <w:iCs/>
        </w:rPr>
        <w:t xml:space="preserve">Dostawcy usług i wszelkie osoby trzecie zaangażowane w zapewnienie wieku powinny zapewnić, aby przetwarzanie wszelkich danych osobowych do celów zapewnienia wieku było zgodne z prawem, </w:t>
      </w:r>
      <w:r w:rsidR="00E74A60" w:rsidRPr="00432F43">
        <w:rPr>
          <w:iCs/>
        </w:rPr>
        <w:t>rzetelne</w:t>
      </w:r>
      <w:r w:rsidRPr="00432F43">
        <w:rPr>
          <w:iCs/>
        </w:rPr>
        <w:t xml:space="preserve"> i przejrzyste dla użytkowników.</w:t>
      </w:r>
      <w:r w:rsidRPr="007063E7">
        <w:rPr>
          <w:rFonts w:ascii="Calibri" w:eastAsia="Calibri" w:hAnsi="Calibri" w:cs="Calibri"/>
          <w:iCs/>
        </w:rPr>
        <w:t xml:space="preserve"> </w:t>
      </w:r>
    </w:p>
    <w:p w14:paraId="62C418CF" w14:textId="77777777" w:rsidR="00F72433" w:rsidRDefault="00F72433" w:rsidP="003544F2">
      <w:pPr>
        <w:spacing w:after="0" w:line="240" w:lineRule="auto"/>
        <w:jc w:val="both"/>
        <w:rPr>
          <w:rFonts w:ascii="Calibri" w:eastAsia="Calibri" w:hAnsi="Calibri" w:cs="Calibri"/>
        </w:rPr>
      </w:pPr>
    </w:p>
    <w:p w14:paraId="28728E0F" w14:textId="7B378AC2" w:rsidR="0041052B" w:rsidRPr="001C3C4D" w:rsidRDefault="00E74A60" w:rsidP="00AC5E8A">
      <w:pPr>
        <w:pStyle w:val="P68B1DB1-Normalny2"/>
        <w:numPr>
          <w:ilvl w:val="0"/>
          <w:numId w:val="7"/>
        </w:numPr>
        <w:spacing w:after="0" w:line="240" w:lineRule="auto"/>
        <w:ind w:left="-3"/>
        <w:jc w:val="both"/>
        <w:rPr>
          <w:strike/>
        </w:rPr>
      </w:pPr>
      <w:r>
        <w:t>Dostawcy usług</w:t>
      </w:r>
      <w:r w:rsidR="008C123E">
        <w:t xml:space="preserve"> muszą zapewnić, aby mieli mającą zastosowanie podstawę prawną na mocy art. 6 RODO (oraz, w stosownych przypadkach, mający zastosowanie wyjątek określony w art. 9 ust. 2) do przetwarzania danych osobowych w kontekście zapewnienia wieku. Na przykład mogą być one zmuszone do wdrożenia </w:t>
      </w:r>
      <w:r>
        <w:t>zapewnienia</w:t>
      </w:r>
      <w:r w:rsidR="008C123E">
        <w:t xml:space="preserve"> wieku w celu wywiązania się z obowiązku prawnego (art. 6 ust. 1 lit. c) RODO), biorąc pod uwagę, że </w:t>
      </w:r>
      <w:r>
        <w:t>zapewnienie</w:t>
      </w:r>
      <w:r w:rsidR="008C123E">
        <w:t xml:space="preserve"> wieku musi być </w:t>
      </w:r>
      <w:r w:rsidR="00294C6A">
        <w:t xml:space="preserve">proporcjonalne </w:t>
      </w:r>
      <w:r w:rsidR="008C123E">
        <w:t xml:space="preserve">do prawnie uzasadnionego zamierzonego celu i wymogów określonych w art. 6 ust. 3 RODO. </w:t>
      </w:r>
    </w:p>
    <w:p w14:paraId="1BA95BFD" w14:textId="77777777" w:rsidR="001C3C4D" w:rsidRPr="0041052B" w:rsidRDefault="001C3C4D" w:rsidP="003544F2">
      <w:pPr>
        <w:pStyle w:val="P68B1DB1-Normalny2"/>
        <w:spacing w:after="0" w:line="240" w:lineRule="auto"/>
        <w:ind w:left="360"/>
        <w:jc w:val="both"/>
        <w:rPr>
          <w:strike/>
        </w:rPr>
      </w:pPr>
    </w:p>
    <w:p w14:paraId="6612C1E3" w14:textId="1835DA2E" w:rsidR="00F72433" w:rsidRPr="00310F3E" w:rsidRDefault="008C123E" w:rsidP="00AC5E8A">
      <w:pPr>
        <w:pStyle w:val="P68B1DB1-Normalny2"/>
        <w:numPr>
          <w:ilvl w:val="0"/>
          <w:numId w:val="7"/>
        </w:numPr>
        <w:spacing w:after="0" w:line="240" w:lineRule="auto"/>
        <w:ind w:left="-3"/>
        <w:jc w:val="both"/>
        <w:rPr>
          <w:strike/>
        </w:rPr>
      </w:pPr>
      <w:r w:rsidRPr="00310F3E">
        <w:t>Ponadto dostawcy usług muszą w przejrzysty sposób informować użytkowników o tym, w jaki dokładnie sposób i przez kogo wykorzystywane są ich dane osobowe. Jest to szczególnie ważne, gdy w proces zapewnienia wieku zaangażowanych jest wiele stron. Przed przetwarzaniem jakichkolwiek danych osobowych do celów zapewnienia wieku użytkownicy muszą zostać poinformowani (zgodnie z art. 12, 13 i 14 RODO), między innymi o</w:t>
      </w:r>
      <w:r w:rsidR="00D6492F" w:rsidRPr="00310F3E">
        <w:t xml:space="preserve"> tym</w:t>
      </w:r>
      <w:r w:rsidRPr="00310F3E">
        <w:t>:</w:t>
      </w:r>
      <w:r>
        <w:rPr>
          <w:rStyle w:val="Odwoanieprzypisudolnego"/>
        </w:rPr>
        <w:footnoteReference w:id="26"/>
      </w:r>
    </w:p>
    <w:p w14:paraId="5B08BC5C" w14:textId="77777777" w:rsidR="00F72433" w:rsidRDefault="00F72433" w:rsidP="003544F2">
      <w:pPr>
        <w:spacing w:after="0" w:line="240" w:lineRule="auto"/>
        <w:jc w:val="both"/>
        <w:rPr>
          <w:rFonts w:ascii="Calibri" w:eastAsia="Calibri" w:hAnsi="Calibri" w:cs="Calibri"/>
        </w:rPr>
      </w:pPr>
    </w:p>
    <w:p w14:paraId="6F4EEE37" w14:textId="7BBC20F1" w:rsidR="00F72433" w:rsidRDefault="008C123E" w:rsidP="00432F43">
      <w:pPr>
        <w:pStyle w:val="P68B1DB1-Akapitzlist1"/>
        <w:numPr>
          <w:ilvl w:val="0"/>
          <w:numId w:val="4"/>
        </w:numPr>
        <w:spacing w:after="0" w:line="240" w:lineRule="auto"/>
        <w:ind w:left="851"/>
        <w:jc w:val="both"/>
      </w:pPr>
      <w:r>
        <w:t xml:space="preserve">jakie dane osobowe będą przetwarzane i w jaki sposób; </w:t>
      </w:r>
    </w:p>
    <w:p w14:paraId="56383A9D" w14:textId="304C41DF" w:rsidR="00F72433" w:rsidRDefault="008C123E" w:rsidP="00432F43">
      <w:pPr>
        <w:pStyle w:val="P68B1DB1-Akapitzlist1"/>
        <w:numPr>
          <w:ilvl w:val="0"/>
          <w:numId w:val="4"/>
        </w:numPr>
        <w:spacing w:after="0" w:line="240" w:lineRule="auto"/>
        <w:ind w:left="851"/>
        <w:jc w:val="both"/>
      </w:pPr>
      <w:r>
        <w:t xml:space="preserve">czy osoby trzecie będą zaangażowane w ten proces, a jeśli tak, to kim są i kim są administratorzy i podmioty przetwarzające w tym scenariuszu; </w:t>
      </w:r>
    </w:p>
    <w:p w14:paraId="462D7366" w14:textId="03C91C0E" w:rsidR="00F72433" w:rsidRDefault="008C123E" w:rsidP="00432F43">
      <w:pPr>
        <w:pStyle w:val="P68B1DB1-Akapitzlist1"/>
        <w:numPr>
          <w:ilvl w:val="0"/>
          <w:numId w:val="4"/>
        </w:numPr>
        <w:spacing w:after="0" w:line="240" w:lineRule="auto"/>
        <w:ind w:left="851"/>
        <w:jc w:val="both"/>
      </w:pPr>
      <w:r>
        <w:t>czy ich dane będą udostępniane innym osobom lub przekazywane do państwa trzeciego;</w:t>
      </w:r>
    </w:p>
    <w:p w14:paraId="166003FD" w14:textId="5545F6FD" w:rsidR="00F72433" w:rsidRDefault="008C123E" w:rsidP="00432F43">
      <w:pPr>
        <w:pStyle w:val="P68B1DB1-Akapitzlist1"/>
        <w:numPr>
          <w:ilvl w:val="0"/>
          <w:numId w:val="4"/>
        </w:numPr>
        <w:spacing w:after="0" w:line="240" w:lineRule="auto"/>
        <w:ind w:left="851"/>
        <w:jc w:val="both"/>
      </w:pPr>
      <w:r>
        <w:t>jak długo ich dane osobowe będą przechowywane lub, jeżeli nie jest to możliwe, kryteria ustalania okresu przechowywania;</w:t>
      </w:r>
    </w:p>
    <w:p w14:paraId="7C85AB64" w14:textId="0B8E1ADC" w:rsidR="00F72433" w:rsidRDefault="008C123E" w:rsidP="00432F43">
      <w:pPr>
        <w:pStyle w:val="P68B1DB1-Akapitzlist1"/>
        <w:numPr>
          <w:ilvl w:val="0"/>
          <w:numId w:val="4"/>
        </w:numPr>
        <w:spacing w:after="0" w:line="240" w:lineRule="auto"/>
        <w:ind w:left="851"/>
        <w:jc w:val="both"/>
      </w:pPr>
      <w:r>
        <w:t>jakie są ich prawa w odniesieniu do ich danych osobowych (art. 15–22 RODO), w tym w jaki sposób mogą zakwestionować nieprawidłową decyzję podjętą w wyniku zapewnienia wieku.</w:t>
      </w:r>
    </w:p>
    <w:p w14:paraId="2F0D1B28" w14:textId="77777777" w:rsidR="00F72433" w:rsidRDefault="00F72433" w:rsidP="003544F2">
      <w:pPr>
        <w:pStyle w:val="Akapitzlist"/>
        <w:spacing w:after="0" w:line="240" w:lineRule="auto"/>
        <w:ind w:left="0"/>
        <w:jc w:val="both"/>
        <w:rPr>
          <w:rFonts w:ascii="Calibri" w:eastAsia="Calibri" w:hAnsi="Calibri" w:cs="Calibri"/>
        </w:rPr>
      </w:pPr>
    </w:p>
    <w:p w14:paraId="5F6E059D" w14:textId="6F1FB75E" w:rsidR="0041052B" w:rsidRDefault="008C123E" w:rsidP="00AC5E8A">
      <w:pPr>
        <w:pStyle w:val="P68B1DB1-Normalny2"/>
        <w:numPr>
          <w:ilvl w:val="0"/>
          <w:numId w:val="7"/>
        </w:numPr>
        <w:spacing w:after="0" w:line="240" w:lineRule="auto"/>
        <w:ind w:left="-3"/>
        <w:jc w:val="both"/>
      </w:pPr>
      <w:r>
        <w:t xml:space="preserve">Przejrzystość w kontekście </w:t>
      </w:r>
      <w:r w:rsidR="009C1A42">
        <w:t>zapewnienia</w:t>
      </w:r>
      <w:r>
        <w:t xml:space="preserve"> wieku jest szczególnie ważna w przypadku dzieci. </w:t>
      </w:r>
      <w:r w:rsidR="009C1A42">
        <w:t>Dostawcy usług</w:t>
      </w:r>
      <w:r>
        <w:t xml:space="preserve"> muszą dopilnować, aby w stosownych przypadkach przekazywali dzieciom informacje dotyczące przejrzystości w sposób jasny i łatwy do zrozumienia.</w:t>
      </w:r>
    </w:p>
    <w:p w14:paraId="292CF303" w14:textId="77777777" w:rsidR="001C3C4D" w:rsidRDefault="001C3C4D" w:rsidP="003544F2">
      <w:pPr>
        <w:pStyle w:val="P68B1DB1-Normalny2"/>
        <w:spacing w:after="0" w:line="240" w:lineRule="auto"/>
        <w:ind w:left="360"/>
        <w:jc w:val="both"/>
      </w:pPr>
    </w:p>
    <w:p w14:paraId="2A8FEC5E" w14:textId="7305FD18" w:rsidR="00F72433" w:rsidRDefault="008C123E" w:rsidP="00AC5E8A">
      <w:pPr>
        <w:pStyle w:val="P68B1DB1-Normalny2"/>
        <w:numPr>
          <w:ilvl w:val="0"/>
          <w:numId w:val="7"/>
        </w:numPr>
        <w:spacing w:after="0" w:line="240" w:lineRule="auto"/>
        <w:ind w:left="-3"/>
        <w:jc w:val="both"/>
      </w:pPr>
      <w:r>
        <w:t xml:space="preserve">Pojęcie przejrzystości jest zasadniczo związane z </w:t>
      </w:r>
      <w:r w:rsidR="00B66D23">
        <w:t>rzetelnością</w:t>
      </w:r>
      <w:r>
        <w:t xml:space="preserve">. Jeżeli </w:t>
      </w:r>
      <w:r w:rsidR="00B66D23">
        <w:t>dostawcy usług</w:t>
      </w:r>
      <w:r>
        <w:t xml:space="preserve"> </w:t>
      </w:r>
      <w:r w:rsidR="00B66D23" w:rsidRPr="00B66D23">
        <w:t xml:space="preserve">nie zapewniają jasności i przejrzystości co do tego, w jaki sposób przetwarzają informacje o osobach fizycznych w celu </w:t>
      </w:r>
      <w:r w:rsidR="00DE3B66">
        <w:t>zapewnienia</w:t>
      </w:r>
      <w:r w:rsidR="00B66D23" w:rsidRPr="00B66D23">
        <w:t xml:space="preserve"> wieku, jest mało prawdopodobne, aby takie przetwarzanie można było uznać za uczciwe, co z kolei sprawia, że jest mało prawdopodobne, aby takie przetwarzanie było zgodne z prawem. W szczególności, jeśli dostawca oferuje użytkownikom różne metody weryfikacji ich wieku, powinien zapewnić przejrzystość w zakresie wpływu, jaki każda metoda ma z perspektywy ochrony danych.</w:t>
      </w:r>
    </w:p>
    <w:p w14:paraId="1A269D21" w14:textId="7936CD6E" w:rsidR="00AC5E8A" w:rsidRDefault="00AC5E8A" w:rsidP="00AC5E8A">
      <w:pPr>
        <w:pStyle w:val="P68B1DB1-Normalny2"/>
        <w:spacing w:after="0" w:line="240" w:lineRule="auto"/>
        <w:jc w:val="both"/>
      </w:pPr>
    </w:p>
    <w:p w14:paraId="1319C3BE" w14:textId="0E85189F" w:rsidR="00F72433" w:rsidRDefault="008C123E" w:rsidP="00AC5E8A">
      <w:pPr>
        <w:pStyle w:val="Nagwek2"/>
        <w:keepNext/>
        <w:numPr>
          <w:ilvl w:val="1"/>
          <w:numId w:val="6"/>
        </w:numPr>
        <w:spacing w:before="0" w:after="0" w:line="240" w:lineRule="auto"/>
        <w:jc w:val="both"/>
      </w:pPr>
      <w:r>
        <w:t>Zautomatyzowane podejmowanie decyzji</w:t>
      </w:r>
    </w:p>
    <w:p w14:paraId="1504B651" w14:textId="77777777" w:rsidR="00AC5E8A" w:rsidRDefault="00AC5E8A" w:rsidP="003544F2">
      <w:pPr>
        <w:pStyle w:val="P68B1DB1-Normalny4"/>
        <w:keepNext/>
        <w:spacing w:after="0" w:line="240" w:lineRule="auto"/>
        <w:jc w:val="both"/>
        <w:rPr>
          <w:i w:val="0"/>
          <w:iCs/>
        </w:rPr>
      </w:pPr>
    </w:p>
    <w:p w14:paraId="36AEBDC6" w14:textId="7F024457" w:rsidR="001C3C4D" w:rsidRDefault="008C123E" w:rsidP="003544F2">
      <w:pPr>
        <w:pStyle w:val="P68B1DB1-Normalny4"/>
        <w:keepNext/>
        <w:spacing w:after="0" w:line="240" w:lineRule="auto"/>
        <w:jc w:val="both"/>
        <w:rPr>
          <w:i w:val="0"/>
          <w:iCs/>
        </w:rPr>
      </w:pPr>
      <w:r w:rsidRPr="00432F43">
        <w:rPr>
          <w:i w:val="0"/>
          <w:iCs/>
        </w:rPr>
        <w:t xml:space="preserve">Wszelkie przypadki zautomatyzowanego podejmowania decyzji w kontekście zapewnienia wieku powinny być zgodne z RODO. W stosownych przypadkach dostawcy usług i wszelkie zaangażowane </w:t>
      </w:r>
      <w:r w:rsidRPr="00432F43">
        <w:rPr>
          <w:i w:val="0"/>
          <w:iCs/>
        </w:rPr>
        <w:lastRenderedPageBreak/>
        <w:t xml:space="preserve">osoby trzecie powinni zapewnić odpowiednie środki ochrony praw, wolności i </w:t>
      </w:r>
      <w:r w:rsidR="00284817" w:rsidRPr="00432F43">
        <w:rPr>
          <w:i w:val="0"/>
          <w:iCs/>
        </w:rPr>
        <w:t xml:space="preserve">prawnie </w:t>
      </w:r>
      <w:r w:rsidRPr="00432F43">
        <w:rPr>
          <w:i w:val="0"/>
          <w:iCs/>
        </w:rPr>
        <w:t>uzasadnionych interesów osób fizycznych.</w:t>
      </w:r>
    </w:p>
    <w:p w14:paraId="6A8787FD" w14:textId="77777777" w:rsidR="001C3C4D" w:rsidRPr="00432F43" w:rsidRDefault="001C3C4D" w:rsidP="003544F2">
      <w:pPr>
        <w:pStyle w:val="P68B1DB1-Normalny4"/>
        <w:keepNext/>
        <w:spacing w:after="0" w:line="240" w:lineRule="auto"/>
        <w:jc w:val="both"/>
        <w:rPr>
          <w:i w:val="0"/>
          <w:iCs/>
        </w:rPr>
      </w:pPr>
    </w:p>
    <w:p w14:paraId="7E2A9F12" w14:textId="47CB6467" w:rsidR="0041052B" w:rsidRDefault="008C123E" w:rsidP="00AC5E8A">
      <w:pPr>
        <w:pStyle w:val="Akapitzlist"/>
        <w:numPr>
          <w:ilvl w:val="0"/>
          <w:numId w:val="7"/>
        </w:numPr>
        <w:spacing w:after="0" w:line="240" w:lineRule="auto"/>
        <w:ind w:left="-3"/>
        <w:jc w:val="both"/>
      </w:pPr>
      <w:r>
        <w:t>Prawodawca unijny opowiedział się za szeroką definicją zautomatyzowanego podejmowania decyzji, która wymaga analizy poszczególnych przypadków.</w:t>
      </w:r>
      <w:r>
        <w:rPr>
          <w:rStyle w:val="Odwoanieprzypisudolnego"/>
        </w:rPr>
        <w:footnoteReference w:id="27"/>
      </w:r>
      <w:r>
        <w:t xml:space="preserve"> Zautomatyzowane decyzje mogą być podejmowane na różnych etapach procesu </w:t>
      </w:r>
      <w:r w:rsidR="0079491B">
        <w:t>zapewnienia</w:t>
      </w:r>
      <w:r>
        <w:t xml:space="preserve"> wieku, zarówno w celu uzyskania dostępu do treści lub usługi, jak i za pomocą metod wdrożonych w celu udowodnienia wieku. </w:t>
      </w:r>
    </w:p>
    <w:p w14:paraId="73413AAB" w14:textId="77777777" w:rsidR="001C3C4D" w:rsidRDefault="001C3C4D" w:rsidP="003544F2">
      <w:pPr>
        <w:pStyle w:val="Akapitzlist"/>
        <w:spacing w:after="0" w:line="240" w:lineRule="auto"/>
        <w:ind w:left="360"/>
        <w:jc w:val="both"/>
      </w:pPr>
    </w:p>
    <w:p w14:paraId="1C8B92B3" w14:textId="0B28B1C2" w:rsidR="001C3C4D" w:rsidRDefault="008C123E" w:rsidP="00AC5E8A">
      <w:pPr>
        <w:pStyle w:val="Akapitzlist"/>
        <w:numPr>
          <w:ilvl w:val="0"/>
          <w:numId w:val="7"/>
        </w:numPr>
        <w:spacing w:after="0" w:line="240" w:lineRule="auto"/>
        <w:ind w:left="-3"/>
        <w:jc w:val="both"/>
      </w:pPr>
      <w:r>
        <w:t>W pełni zautomatyzowan</w:t>
      </w:r>
      <w:r w:rsidR="00880301">
        <w:t>e</w:t>
      </w:r>
      <w:r>
        <w:t xml:space="preserve"> </w:t>
      </w:r>
      <w:r w:rsidR="00880301">
        <w:t>zapewnienie</w:t>
      </w:r>
      <w:r>
        <w:t xml:space="preserve"> wieku może wywoływać skutki prawne dla zainteresowanych osób fizycznych – na przykład w odniesieniu do korzystania przez nie z wolności wypowiedzi – lub co najmniej może znacząco wpływać na nie w podobny sposób.</w:t>
      </w:r>
      <w:r>
        <w:rPr>
          <w:rStyle w:val="Odwoanieprzypisudolnego"/>
        </w:rPr>
        <w:footnoteReference w:id="28"/>
      </w:r>
      <w:r>
        <w:t xml:space="preserve"> Wpływ automatycznego </w:t>
      </w:r>
      <w:r w:rsidR="00880301">
        <w:t>zapewnienia</w:t>
      </w:r>
      <w:r>
        <w:t xml:space="preserve"> wieku na prawa osób fizycznych może być różny w zależności od rodzaju treści lub usług.</w:t>
      </w:r>
    </w:p>
    <w:p w14:paraId="3516A289" w14:textId="28749BD9" w:rsidR="0041052B" w:rsidRDefault="008C123E" w:rsidP="003544F2">
      <w:pPr>
        <w:pStyle w:val="Akapitzlist"/>
        <w:spacing w:after="0" w:line="240" w:lineRule="auto"/>
        <w:ind w:left="360"/>
        <w:jc w:val="both"/>
      </w:pPr>
      <w:r>
        <w:t xml:space="preserve"> </w:t>
      </w:r>
    </w:p>
    <w:p w14:paraId="6747D0E0" w14:textId="0813D9A3" w:rsidR="0041052B" w:rsidRDefault="008C123E" w:rsidP="00AC5E8A">
      <w:pPr>
        <w:pStyle w:val="Akapitzlist"/>
        <w:numPr>
          <w:ilvl w:val="0"/>
          <w:numId w:val="7"/>
        </w:numPr>
        <w:spacing w:after="0" w:line="240" w:lineRule="auto"/>
        <w:ind w:left="-3"/>
        <w:jc w:val="both"/>
      </w:pPr>
      <w:r>
        <w:t xml:space="preserve">W związku z tym dostawcy usług i wszelkie osoby trzecie zaangażowane w zapewnianie wieku powinny zapewnić środki zaradcze i odpowiednie mechanizmy dochodzenia roszczeń dla użytkowników, których atrybuty związane z wiekiem nie są odpowiednio ustalone. W zależności od struktury procesu </w:t>
      </w:r>
      <w:r w:rsidR="00880301">
        <w:t>zapewnienia</w:t>
      </w:r>
      <w:r>
        <w:t xml:space="preserve"> wieku muszą one określić, </w:t>
      </w:r>
      <w:r w:rsidRPr="0041052B">
        <w:rPr>
          <w:rFonts w:ascii="Calibri" w:eastAsia="Calibri" w:hAnsi="Calibri" w:cs="Calibri"/>
        </w:rPr>
        <w:t>z kim osoba, której dane dotyczą, powinna się skontaktować, aby skorzystać ze swoich praw.</w:t>
      </w:r>
      <w:r>
        <w:t xml:space="preserve"> </w:t>
      </w:r>
      <w:r>
        <w:rPr>
          <w:rStyle w:val="Odwoanieprzypisudolnego"/>
        </w:rPr>
        <w:footnoteReference w:id="29"/>
      </w:r>
      <w:r>
        <w:t xml:space="preserve"> </w:t>
      </w:r>
    </w:p>
    <w:p w14:paraId="3B06FC48" w14:textId="77777777" w:rsidR="001C3C4D" w:rsidRDefault="001C3C4D" w:rsidP="003544F2">
      <w:pPr>
        <w:pStyle w:val="Akapitzlist"/>
        <w:spacing w:after="0" w:line="240" w:lineRule="auto"/>
        <w:ind w:left="360"/>
        <w:jc w:val="both"/>
      </w:pPr>
    </w:p>
    <w:p w14:paraId="3E243E06" w14:textId="607BF57B" w:rsidR="00F72433" w:rsidRDefault="00880301" w:rsidP="00AC5E8A">
      <w:pPr>
        <w:pStyle w:val="Akapitzlist"/>
        <w:numPr>
          <w:ilvl w:val="0"/>
          <w:numId w:val="7"/>
        </w:numPr>
        <w:spacing w:after="0" w:line="240" w:lineRule="auto"/>
        <w:ind w:left="-3"/>
        <w:jc w:val="both"/>
      </w:pPr>
      <w:r w:rsidRPr="007063E7">
        <w:t>Dostawcy usług</w:t>
      </w:r>
      <w:r w:rsidR="008C123E" w:rsidRPr="007063E7">
        <w:t xml:space="preserve"> i wszelkie zaangażowane strony trzecie powinni zwracać szczególną uwagę na dzieci. Jak stwierdzono w motywie 71 RODO, </w:t>
      </w:r>
      <w:r w:rsidR="008C123E" w:rsidRPr="00432F43">
        <w:t>„jedynie zautomatyzowane podejmowanie decyzji [...] o skutkach prawnych lub podobnych istotnych skutkach [...] nie powinno dotyczyć dziecka”.</w:t>
      </w:r>
      <w:r w:rsidR="008C123E" w:rsidRPr="007063E7">
        <w:t xml:space="preserve"> Wyjątki od tej zasady powinny być stosowane w ograniczonych okolicznościach, takich jak konieczność </w:t>
      </w:r>
      <w:r w:rsidR="008C123E" w:rsidRPr="00432F43">
        <w:t>„ochrony</w:t>
      </w:r>
      <w:r w:rsidR="008C123E" w:rsidRPr="007063E7">
        <w:rPr>
          <w:rStyle w:val="Odwoanieprzypisudolnego"/>
        </w:rPr>
        <w:footnoteReference w:id="30"/>
      </w:r>
      <w:r w:rsidR="008C123E" w:rsidRPr="00432F43">
        <w:t>ich dobrostanu”.</w:t>
      </w:r>
      <w:r w:rsidR="008C123E" w:rsidRPr="007063E7">
        <w:t xml:space="preserve"> W każdym przypadku </w:t>
      </w:r>
      <w:r w:rsidRPr="008226EE">
        <w:t>dostawcy usług</w:t>
      </w:r>
      <w:r w:rsidR="008C123E" w:rsidRPr="007063E7">
        <w:t xml:space="preserve"> i każda zaangażowana strona trzecia powinni wdrożyć odpowiednie środki – np. realne alternatywy, mechanizmy dochodzenia roszczeń oraz, w stosownych przypadkach, interwencję człowieka – wraz z informacjami dostosowanymi w stosownych przypadkach do potrzeb dzieci.</w:t>
      </w:r>
    </w:p>
    <w:p w14:paraId="3BC6E100" w14:textId="64BDD513" w:rsidR="00AC5E8A" w:rsidRPr="007063E7" w:rsidRDefault="00AC5E8A" w:rsidP="00AC5E8A">
      <w:pPr>
        <w:spacing w:after="0" w:line="240" w:lineRule="auto"/>
        <w:jc w:val="both"/>
      </w:pPr>
    </w:p>
    <w:p w14:paraId="311909F4" w14:textId="0E854CF9" w:rsidR="00F72433" w:rsidRDefault="008C123E" w:rsidP="00AC5E8A">
      <w:pPr>
        <w:pStyle w:val="Nagwek2"/>
        <w:keepNext/>
        <w:numPr>
          <w:ilvl w:val="1"/>
          <w:numId w:val="6"/>
        </w:numPr>
        <w:spacing w:before="0" w:after="0" w:line="240" w:lineRule="auto"/>
        <w:jc w:val="both"/>
      </w:pPr>
      <w:r>
        <w:t xml:space="preserve">Uwzględnianie ochrony danych w fazie projektowania </w:t>
      </w:r>
      <w:r w:rsidR="00880301">
        <w:t>oraz</w:t>
      </w:r>
      <w:r>
        <w:t xml:space="preserve"> domyślna ochrona danych</w:t>
      </w:r>
    </w:p>
    <w:p w14:paraId="01C67359" w14:textId="77777777" w:rsidR="00AC5E8A" w:rsidRDefault="00AC5E8A" w:rsidP="003544F2">
      <w:pPr>
        <w:pStyle w:val="P68B1DB1-Normalny4"/>
        <w:keepNext/>
        <w:spacing w:after="0" w:line="240" w:lineRule="auto"/>
        <w:jc w:val="both"/>
        <w:rPr>
          <w:i w:val="0"/>
          <w:iCs/>
        </w:rPr>
      </w:pPr>
    </w:p>
    <w:p w14:paraId="14911203" w14:textId="69C69170" w:rsidR="00F72433" w:rsidRDefault="008C123E" w:rsidP="003544F2">
      <w:pPr>
        <w:pStyle w:val="P68B1DB1-Normalny4"/>
        <w:keepNext/>
        <w:spacing w:after="0" w:line="240" w:lineRule="auto"/>
        <w:jc w:val="both"/>
        <w:rPr>
          <w:i w:val="0"/>
          <w:iCs/>
        </w:rPr>
      </w:pPr>
      <w:r w:rsidRPr="00432F43">
        <w:rPr>
          <w:i w:val="0"/>
          <w:iCs/>
        </w:rPr>
        <w:t>Zapewnienie wieku powinno być projektowane, wdrażane i oceniane z uwzględnieniem najbardziej chroniących prywatność dostępnych metod i technologii w celu spełnienia wymogów RODO i skutecznej ochrony praw osób, których dane dotyczą.</w:t>
      </w:r>
    </w:p>
    <w:p w14:paraId="7A8E6F47" w14:textId="77777777" w:rsidR="001C3C4D" w:rsidRPr="00432F43" w:rsidRDefault="001C3C4D" w:rsidP="003544F2">
      <w:pPr>
        <w:pStyle w:val="P68B1DB1-Normalny4"/>
        <w:keepNext/>
        <w:spacing w:after="0" w:line="240" w:lineRule="auto"/>
        <w:jc w:val="both"/>
        <w:rPr>
          <w:i w:val="0"/>
          <w:iCs/>
        </w:rPr>
      </w:pPr>
    </w:p>
    <w:p w14:paraId="2CB4B09B" w14:textId="454FF6EC" w:rsidR="0041052B" w:rsidRDefault="008C123E" w:rsidP="00AC5E8A">
      <w:pPr>
        <w:pStyle w:val="Akapitzlist"/>
        <w:numPr>
          <w:ilvl w:val="0"/>
          <w:numId w:val="7"/>
        </w:numPr>
        <w:spacing w:after="0" w:line="240" w:lineRule="auto"/>
        <w:ind w:left="-3"/>
        <w:jc w:val="both"/>
      </w:pPr>
      <w:r>
        <w:t xml:space="preserve">Zgodnie z art. 25 RODO administratorzy danych zaangażowani w zapewnianie wieku powinni wdrożyć odpowiednie środki techniczne i organizacyjne oraz niezbędne zabezpieczenia, aby zapewnić skuteczne wdrożenie wszystkich zasad ochrony danych, a w konsekwencji praw i wolności osób, których dane dotyczą. Wymóg domyślnego uwzględniania przez administratorów ochrony danych na </w:t>
      </w:r>
      <w:r>
        <w:lastRenderedPageBreak/>
        <w:t xml:space="preserve">etapie projektowania każdej czynności przetwarzania danych osobowych ma również zastosowanie do podmiotów przetwarzających i przez cały cykl przetwarzania.  </w:t>
      </w:r>
    </w:p>
    <w:p w14:paraId="27C08697" w14:textId="77777777" w:rsidR="001C3C4D" w:rsidRDefault="001C3C4D" w:rsidP="003544F2">
      <w:pPr>
        <w:pStyle w:val="Akapitzlist"/>
        <w:spacing w:after="0" w:line="240" w:lineRule="auto"/>
        <w:ind w:left="360"/>
        <w:jc w:val="both"/>
      </w:pPr>
    </w:p>
    <w:p w14:paraId="7ABDF6AB" w14:textId="6D643C0E" w:rsidR="0041052B" w:rsidRDefault="008C123E" w:rsidP="00AC5E8A">
      <w:pPr>
        <w:pStyle w:val="Akapitzlist"/>
        <w:numPr>
          <w:ilvl w:val="0"/>
          <w:numId w:val="7"/>
        </w:numPr>
        <w:spacing w:after="0" w:line="240" w:lineRule="auto"/>
        <w:ind w:left="-3"/>
        <w:jc w:val="both"/>
      </w:pPr>
      <w:r>
        <w:t xml:space="preserve">Biorąc pod uwagę różnorodność i powagę zagrożeń związanych z systemami </w:t>
      </w:r>
      <w:r w:rsidR="00EB27D8">
        <w:t xml:space="preserve">zapewnienia </w:t>
      </w:r>
      <w:r>
        <w:t xml:space="preserve">wieku, zwłaszcza w przypadku przetwarzania dokumentów tożsamości lub szczególnych kategorii danych osobowych, takich jak dane biometryczne, należy zwrócić szczególną uwagę na unikanie niepotrzebnego dostępu do danych osobowych, ich przetwarzania, udostępniania i przechowywania. Systemy </w:t>
      </w:r>
      <w:r w:rsidR="00443738">
        <w:t>zapewnienia</w:t>
      </w:r>
      <w:r>
        <w:t xml:space="preserve"> wieku oraz wszelkie instrumenty prawne lub techniczne określające wymogi dla takich systemów powinny być również regularnie weryfikowane i aktualizowane, w razie potrzeby, aby uwzględnić szybko zmieniający się krajobraz technologii zwiększających prywatność w dziedzinie zarządzania tożsamością cyfrową.  </w:t>
      </w:r>
    </w:p>
    <w:p w14:paraId="0B21CA2A" w14:textId="77777777" w:rsidR="001C3C4D" w:rsidRDefault="001C3C4D" w:rsidP="003544F2">
      <w:pPr>
        <w:pStyle w:val="Akapitzlist"/>
        <w:spacing w:after="0" w:line="240" w:lineRule="auto"/>
        <w:ind w:left="360"/>
        <w:jc w:val="both"/>
      </w:pPr>
    </w:p>
    <w:p w14:paraId="05F12C72" w14:textId="3960C48C" w:rsidR="0041052B" w:rsidRDefault="008C123E" w:rsidP="00AC5E8A">
      <w:pPr>
        <w:pStyle w:val="Akapitzlist"/>
        <w:numPr>
          <w:ilvl w:val="0"/>
          <w:numId w:val="7"/>
        </w:numPr>
        <w:spacing w:after="0" w:line="240" w:lineRule="auto"/>
        <w:ind w:left="-3"/>
        <w:jc w:val="both"/>
      </w:pPr>
      <w:r>
        <w:t xml:space="preserve">Jak wspomniano w wytycznych EROD dotyczących uwzględniania ochrony danych w fazie projektowania </w:t>
      </w:r>
      <w:r w:rsidR="00D9634B">
        <w:t>oraz</w:t>
      </w:r>
      <w:r>
        <w:t xml:space="preserve"> domyślnej ochrony danych,</w:t>
      </w:r>
      <w:r>
        <w:rPr>
          <w:rStyle w:val="Odwoanieprzypisudolnego"/>
        </w:rPr>
        <w:footnoteReference w:id="31"/>
      </w:r>
      <w:r w:rsidR="00D9634B">
        <w:t xml:space="preserve"> </w:t>
      </w:r>
      <w:r>
        <w:t xml:space="preserve">odniesienie do „aktualnego stanu wiedzy” w kontekście art. 25 RODO nakłada na administratorów danych obowiązek uwzględnienia obecnego postępu technologicznego dostępnego na rynku przy określaniu wyżej wymienionych odpowiednich środków technicznych i organizacyjnych. Przy określaniu takich środków pomocne mogą być normy, najlepsze praktyki i kodeksy postępowania uznane przez odpowiednie zainteresowane strony. Należy jednak zweryfikować stosowność tych środków w odniesieniu do każdej konkretnej czynności przetwarzania.  </w:t>
      </w:r>
    </w:p>
    <w:p w14:paraId="26F44EEA" w14:textId="77777777" w:rsidR="001C3C4D" w:rsidRDefault="001C3C4D" w:rsidP="003544F2">
      <w:pPr>
        <w:pStyle w:val="Akapitzlist"/>
        <w:spacing w:after="0" w:line="240" w:lineRule="auto"/>
        <w:ind w:left="360"/>
        <w:jc w:val="both"/>
      </w:pPr>
    </w:p>
    <w:p w14:paraId="21630445" w14:textId="57797137" w:rsidR="00F72433" w:rsidRDefault="008C123E" w:rsidP="00AC5E8A">
      <w:pPr>
        <w:pStyle w:val="Akapitzlist"/>
        <w:numPr>
          <w:ilvl w:val="0"/>
          <w:numId w:val="7"/>
        </w:numPr>
        <w:spacing w:after="0" w:line="240" w:lineRule="auto"/>
        <w:ind w:left="-3"/>
        <w:jc w:val="both"/>
      </w:pPr>
      <w:r>
        <w:t xml:space="preserve">W związku z tym EROD zaleca, aby w oparciu o aktualny stan wiedzy na temat </w:t>
      </w:r>
      <w:r w:rsidR="00EB27D8">
        <w:t xml:space="preserve">zapewnienia </w:t>
      </w:r>
      <w:r>
        <w:t>wieku w czasie przygotowywania niniejszego dokumentu należycie uwzględnić technologie i architektury sprzyjające danym przechowywanym przez użytkownika i bezpiecznemu przetwarzaniu lokalnemu (opartemu na urządzeniu), umożliwiające takie właściwości, jak brak powiązania</w:t>
      </w:r>
      <w:r>
        <w:rPr>
          <w:rStyle w:val="Odwoanieprzypisudolnego"/>
        </w:rPr>
        <w:footnoteReference w:id="32"/>
      </w:r>
      <w:r>
        <w:t xml:space="preserve"> (z punktu widzenia różnych stron, a nawet w przypadku zmów lub naruszeń </w:t>
      </w:r>
      <w:r w:rsidR="008D2F5B">
        <w:t xml:space="preserve">ochrony </w:t>
      </w:r>
      <w:r>
        <w:t>danych) oraz selektywne ujawnianie danych</w:t>
      </w:r>
      <w:r>
        <w:rPr>
          <w:rStyle w:val="Odwoanieprzypisudolnego"/>
        </w:rPr>
        <w:footnoteReference w:id="33"/>
      </w:r>
      <w:r>
        <w:t xml:space="preserve"> osobowych pod kontrolą osoby, której dane dotyczą. Ponadto osobom, których dane dotyczą,</w:t>
      </w:r>
      <w:r>
        <w:rPr>
          <w:rStyle w:val="Odwoanieprzypisudolnego"/>
        </w:rPr>
        <w:footnoteReference w:id="34"/>
      </w:r>
      <w:r>
        <w:t xml:space="preserve"> należy udostępnić podejścia, takie jak podejścia oparte na seryjnym</w:t>
      </w:r>
      <w:r w:rsidR="003420E2" w:rsidRPr="003420E2">
        <w:t xml:space="preserve"> </w:t>
      </w:r>
      <w:r w:rsidR="003420E2">
        <w:t>wydawaniu</w:t>
      </w:r>
      <w:r w:rsidR="003420E2">
        <w:rPr>
          <w:rStyle w:val="Odwoanieprzypisudolnego"/>
        </w:rPr>
        <w:t xml:space="preserve"> </w:t>
      </w:r>
      <w:r>
        <w:rPr>
          <w:rStyle w:val="Odwoanieprzypisudolnego"/>
        </w:rPr>
        <w:footnoteReference w:id="35"/>
      </w:r>
      <w:r>
        <w:t xml:space="preserve"> danych uwierzytelniających jednorazowego użytku lub protokoły kryptograficzne, takie jak dowody </w:t>
      </w:r>
      <w:r w:rsidR="003420E2">
        <w:t>z wiedzą zerową</w:t>
      </w:r>
      <w:r>
        <w:t>, w przypadkach gdy zapewnienie wieku może wiązać się z wysokim ryzykiem dla ich prywatności.</w:t>
      </w:r>
    </w:p>
    <w:p w14:paraId="76C2016C" w14:textId="1982C97D" w:rsidR="00AC5E8A" w:rsidRPr="0041052B" w:rsidRDefault="00AC5E8A" w:rsidP="00AC5E8A">
      <w:pPr>
        <w:spacing w:after="0" w:line="240" w:lineRule="auto"/>
        <w:jc w:val="both"/>
      </w:pPr>
    </w:p>
    <w:p w14:paraId="68367225" w14:textId="68F94244" w:rsidR="00F72433" w:rsidRDefault="004C0042" w:rsidP="00AC5E8A">
      <w:pPr>
        <w:pStyle w:val="Nagwek2"/>
        <w:keepNext/>
        <w:numPr>
          <w:ilvl w:val="1"/>
          <w:numId w:val="6"/>
        </w:numPr>
        <w:spacing w:before="0" w:after="0" w:line="240" w:lineRule="auto"/>
        <w:jc w:val="both"/>
      </w:pPr>
      <w:r>
        <w:t>Bezpieczeństwo przy zapewnieniu wieku</w:t>
      </w:r>
    </w:p>
    <w:p w14:paraId="32917801" w14:textId="77777777" w:rsidR="00AC5E8A" w:rsidRDefault="00AC5E8A" w:rsidP="003544F2">
      <w:pPr>
        <w:pStyle w:val="P68B1DB1-Normalny4"/>
        <w:keepNext/>
        <w:spacing w:after="0" w:line="240" w:lineRule="auto"/>
        <w:jc w:val="both"/>
        <w:rPr>
          <w:i w:val="0"/>
          <w:iCs/>
        </w:rPr>
      </w:pPr>
    </w:p>
    <w:p w14:paraId="2B540983" w14:textId="3D700B23" w:rsidR="00F72433" w:rsidRDefault="00F63DBB" w:rsidP="003544F2">
      <w:pPr>
        <w:pStyle w:val="P68B1DB1-Normalny4"/>
        <w:keepNext/>
        <w:spacing w:after="0" w:line="240" w:lineRule="auto"/>
        <w:jc w:val="both"/>
        <w:rPr>
          <w:i w:val="0"/>
          <w:iCs/>
        </w:rPr>
      </w:pPr>
      <w:r w:rsidRPr="00432F43">
        <w:rPr>
          <w:i w:val="0"/>
          <w:iCs/>
        </w:rPr>
        <w:t>Dostawcy usług</w:t>
      </w:r>
      <w:r w:rsidR="008C123E" w:rsidRPr="00432F43">
        <w:rPr>
          <w:i w:val="0"/>
          <w:iCs/>
        </w:rPr>
        <w:t xml:space="preserve"> i wszelkie osoby trzecie zaangażowane w zapewnianie wieku powinny wdrożyć odpowiednie środki techniczne i organizacyjne w celu zapewnienia poziomu bezpieczeństwa odpowiedniego do ryzyka.</w:t>
      </w:r>
    </w:p>
    <w:p w14:paraId="3851F4B6" w14:textId="77777777" w:rsidR="001C3C4D" w:rsidRPr="00432F43" w:rsidRDefault="001C3C4D" w:rsidP="003544F2">
      <w:pPr>
        <w:pStyle w:val="P68B1DB1-Normalny4"/>
        <w:keepNext/>
        <w:spacing w:after="0" w:line="240" w:lineRule="auto"/>
        <w:jc w:val="both"/>
        <w:rPr>
          <w:i w:val="0"/>
          <w:iCs/>
        </w:rPr>
      </w:pPr>
    </w:p>
    <w:p w14:paraId="1E02D4DB" w14:textId="3B25B6D8" w:rsidR="0041052B" w:rsidRDefault="008C123E" w:rsidP="00AC5E8A">
      <w:pPr>
        <w:pStyle w:val="Akapitzlist"/>
        <w:numPr>
          <w:ilvl w:val="0"/>
          <w:numId w:val="7"/>
        </w:numPr>
        <w:spacing w:after="0" w:line="240" w:lineRule="auto"/>
        <w:ind w:left="-3"/>
        <w:jc w:val="both"/>
      </w:pPr>
      <w:r>
        <w:t>RODO wymaga, aby zarówno administratorzy, jak i podmioty przetwarzające dysponowali odpowiednimi środkami technicznymi i organizacyjnymi w celu zapewnienia poziomu bezpieczeństwa odpowiedniego do ryzyka, jakie stwarzają przetwarzane dane osobowe (motyw 83 i art. 32).</w:t>
      </w:r>
      <w:r w:rsidRPr="0041052B">
        <w:rPr>
          <w:rFonts w:ascii="Calibri" w:eastAsia="Calibri" w:hAnsi="Calibri" w:cs="Calibri"/>
        </w:rPr>
        <w:t xml:space="preserve"> </w:t>
      </w:r>
      <w:r>
        <w:t xml:space="preserve">Charakter, </w:t>
      </w:r>
      <w:r>
        <w:lastRenderedPageBreak/>
        <w:t xml:space="preserve">wrażliwość i ilość danych osobowych, które mogą być zaangażowane w zapewnienie wieku, podkreślają potencjalne negatywne skutki, jakie może pociągać za sobą naruszenie ochrony danych. </w:t>
      </w:r>
    </w:p>
    <w:p w14:paraId="30E4564F" w14:textId="77777777" w:rsidR="001C3C4D" w:rsidRDefault="001C3C4D" w:rsidP="003544F2">
      <w:pPr>
        <w:pStyle w:val="Akapitzlist"/>
        <w:spacing w:after="0" w:line="240" w:lineRule="auto"/>
        <w:ind w:left="360"/>
        <w:jc w:val="both"/>
      </w:pPr>
    </w:p>
    <w:p w14:paraId="30430631" w14:textId="00C5F9A7" w:rsidR="0041052B" w:rsidRDefault="008C123E" w:rsidP="00AC5E8A">
      <w:pPr>
        <w:pStyle w:val="Akapitzlist"/>
        <w:numPr>
          <w:ilvl w:val="0"/>
          <w:numId w:val="7"/>
        </w:numPr>
        <w:spacing w:after="0" w:line="240" w:lineRule="auto"/>
        <w:ind w:left="-3"/>
        <w:jc w:val="both"/>
      </w:pPr>
      <w:r>
        <w:t xml:space="preserve">Modele zaufania mają kluczowe znaczenie dla zapobiegania naruszeniom ochrony danych w kontekście zapewnienia wieku, ponieważ określają, w jaki sposób poszczególne strony mogą wzajemnie weryfikować swoją tożsamość i integralność. Ułatwiają one bezpieczną komunikację i wymianę danych między uczestnikami, którzy mogą nie mieć wcześniejszych relacji. Ponadto </w:t>
      </w:r>
      <w:proofErr w:type="spellStart"/>
      <w:r>
        <w:t>pseudonimizacja</w:t>
      </w:r>
      <w:proofErr w:type="spellEnd"/>
      <w:r>
        <w:t xml:space="preserve"> i szyfrowanie danych osobowych mogą być pomocne w łagodzeniu ewentualnych negatywnych skutków naruszeń ochrony danych. Spełnienie zasady ograniczenia przechowywania i stosowanie krótkich okresów </w:t>
      </w:r>
      <w:r w:rsidR="00961BD4">
        <w:t xml:space="preserve">zatrzymywania </w:t>
      </w:r>
      <w:r>
        <w:t xml:space="preserve">może być również niezbędne dla </w:t>
      </w:r>
      <w:r w:rsidR="00B3686B">
        <w:t xml:space="preserve">zagwarantowania </w:t>
      </w:r>
      <w:r>
        <w:t xml:space="preserve">bezpieczeństwa </w:t>
      </w:r>
      <w:r w:rsidR="00B3686B">
        <w:t>przy zapewnieniu</w:t>
      </w:r>
      <w:r>
        <w:t xml:space="preserve"> wieku, zmniejszając powierzchnię ekspozycji. Politykę braku logów można uznać za cenne zabezpieczenie: po zweryfikowaniu wieku użytkownika nie prowadzi się rejestru danych osobowych wykorzystywanych w procesie </w:t>
      </w:r>
      <w:r w:rsidR="00296FCB">
        <w:t xml:space="preserve">zapewnienia </w:t>
      </w:r>
      <w:r>
        <w:t>wieku. </w:t>
      </w:r>
    </w:p>
    <w:p w14:paraId="3CC5A3E7" w14:textId="77777777" w:rsidR="001C3C4D" w:rsidRDefault="001C3C4D" w:rsidP="003544F2">
      <w:pPr>
        <w:pStyle w:val="Akapitzlist"/>
        <w:spacing w:after="0" w:line="240" w:lineRule="auto"/>
        <w:ind w:left="360"/>
        <w:jc w:val="both"/>
      </w:pPr>
    </w:p>
    <w:p w14:paraId="6225C490" w14:textId="00007F07" w:rsidR="0041052B" w:rsidRDefault="008C123E" w:rsidP="00AC5E8A">
      <w:pPr>
        <w:pStyle w:val="Akapitzlist"/>
        <w:numPr>
          <w:ilvl w:val="0"/>
          <w:numId w:val="7"/>
        </w:numPr>
        <w:spacing w:after="0" w:line="240" w:lineRule="auto"/>
        <w:ind w:left="-3"/>
        <w:jc w:val="both"/>
      </w:pPr>
      <w:r w:rsidRPr="0041052B">
        <w:rPr>
          <w:rFonts w:ascii="Calibri" w:eastAsia="Calibri" w:hAnsi="Calibri" w:cs="Calibri"/>
        </w:rPr>
        <w:t xml:space="preserve">W praktyce, biorąc pod uwagę rosnącą presję prawną na wdrożenie </w:t>
      </w:r>
      <w:r w:rsidR="00F63DBB" w:rsidRPr="0041052B">
        <w:rPr>
          <w:rFonts w:ascii="Calibri" w:eastAsia="Calibri" w:hAnsi="Calibri" w:cs="Calibri"/>
        </w:rPr>
        <w:t>zapewnienia</w:t>
      </w:r>
      <w:r w:rsidRPr="0041052B">
        <w:rPr>
          <w:rFonts w:ascii="Calibri" w:eastAsia="Calibri" w:hAnsi="Calibri" w:cs="Calibri"/>
        </w:rPr>
        <w:t xml:space="preserve"> wieku i liczbę dostawców, którzy mogą podlegać takim przepisom, należy spodziewać się wystąpienia naruszeń bezpieczeństwa. </w:t>
      </w:r>
      <w:r>
        <w:t>Należy sprawdzić, czy wprowadzono wszelkie odpowiednie środki ochrony technologicznej i organizacyjne w celu natychmiastowego ustalenia, czy doszło do naruszenia, a następnie ustalić, czy doszło do obowiązku zgłoszenia</w:t>
      </w:r>
      <w:r>
        <w:rPr>
          <w:rStyle w:val="Odwoanieprzypisudolnego"/>
        </w:rPr>
        <w:footnoteReference w:id="36"/>
      </w:r>
      <w:r>
        <w:t xml:space="preserve">. Kluczowym elementem każdej polityki bezpieczeństwa danych jest </w:t>
      </w:r>
      <w:r w:rsidR="00F63DBB">
        <w:t>zdolność</w:t>
      </w:r>
      <w:r>
        <w:t xml:space="preserve">, w miarę możliwości, zapobiegania naruszeniom oraz, w przypadku ich wystąpienia, reagowania w odpowiednim czasie. W związku z tym zdolność do szybkiego przywrócenia dostępności </w:t>
      </w:r>
      <w:r w:rsidR="00F63DBB">
        <w:t>zapewnienia</w:t>
      </w:r>
      <w:r>
        <w:t xml:space="preserve"> wieku po naruszeniu bezpieczeństwa należy również uznać za niezbędną. Podobnie kluczowe znaczenie ma zapewnienie odporności ekosystemu </w:t>
      </w:r>
      <w:r w:rsidR="00F63DBB">
        <w:t>zapewnienia</w:t>
      </w:r>
      <w:r>
        <w:t xml:space="preserve"> wieku, sprzyjanie istnieniu różnych alternatyw i luźno powiązanych stron,</w:t>
      </w:r>
      <w:r>
        <w:rPr>
          <w:rStyle w:val="Odwoanieprzypisudolnego"/>
        </w:rPr>
        <w:footnoteReference w:id="37"/>
      </w:r>
      <w:r>
        <w:t xml:space="preserve"> które nie są od siebie tak bardzo zależne, że </w:t>
      </w:r>
      <w:r w:rsidR="00F63DBB">
        <w:t>błąd</w:t>
      </w:r>
      <w:r>
        <w:t xml:space="preserve"> lub awaria jednego z nich spowodowałaby znaczne ograniczenia dostępu. </w:t>
      </w:r>
    </w:p>
    <w:p w14:paraId="42D88E32" w14:textId="77777777" w:rsidR="001C3C4D" w:rsidRDefault="001C3C4D" w:rsidP="003544F2">
      <w:pPr>
        <w:pStyle w:val="Akapitzlist"/>
        <w:spacing w:after="0" w:line="240" w:lineRule="auto"/>
        <w:ind w:left="360"/>
        <w:jc w:val="both"/>
      </w:pPr>
    </w:p>
    <w:p w14:paraId="5A9A5ACE" w14:textId="2E15E352" w:rsidR="00F72433" w:rsidRDefault="008C123E" w:rsidP="00AC5E8A">
      <w:pPr>
        <w:pStyle w:val="Akapitzlist"/>
        <w:numPr>
          <w:ilvl w:val="0"/>
          <w:numId w:val="7"/>
        </w:numPr>
        <w:spacing w:after="0" w:line="240" w:lineRule="auto"/>
        <w:ind w:left="-3"/>
        <w:jc w:val="both"/>
      </w:pPr>
      <w:r>
        <w:t xml:space="preserve">Chociaż środki bezpieczeństwa mają ogromne znaczenie dla zapewnienia wieku, nie gwarantują one, że upoważniony lub nieuprawniony dostęp do danych osobowych nie będzie miał wpływu na prawa osób fizycznych. Nie mogą one zastąpić stosowania zasad konieczności, proporcjonalności lub uwzględniania ochrony danych w fazie projektowania </w:t>
      </w:r>
      <w:r w:rsidR="00BB6608">
        <w:t>oraz</w:t>
      </w:r>
      <w:r>
        <w:t xml:space="preserve"> domyślnej ochrony danych.</w:t>
      </w:r>
    </w:p>
    <w:p w14:paraId="3E23F594" w14:textId="2C59732A" w:rsidR="00AC5E8A" w:rsidRPr="0041052B" w:rsidRDefault="00AC5E8A" w:rsidP="00AC5E8A">
      <w:pPr>
        <w:spacing w:after="0" w:line="240" w:lineRule="auto"/>
        <w:jc w:val="both"/>
      </w:pPr>
    </w:p>
    <w:p w14:paraId="11794FDE" w14:textId="18BE87FA" w:rsidR="00F72433" w:rsidRDefault="006D2C99" w:rsidP="00AC5E8A">
      <w:pPr>
        <w:pStyle w:val="Nagwek2"/>
        <w:keepNext/>
        <w:numPr>
          <w:ilvl w:val="1"/>
          <w:numId w:val="6"/>
        </w:numPr>
        <w:spacing w:before="0" w:after="0" w:line="240" w:lineRule="auto"/>
        <w:jc w:val="both"/>
      </w:pPr>
      <w:r>
        <w:t>Rozliczalność</w:t>
      </w:r>
    </w:p>
    <w:p w14:paraId="2E1D3934" w14:textId="77777777" w:rsidR="00AC5E8A" w:rsidRDefault="00AC5E8A" w:rsidP="003544F2">
      <w:pPr>
        <w:pStyle w:val="P68B1DB1-Normalny4"/>
        <w:keepNext/>
        <w:spacing w:after="0" w:line="240" w:lineRule="auto"/>
        <w:jc w:val="both"/>
        <w:rPr>
          <w:i w:val="0"/>
          <w:iCs/>
        </w:rPr>
      </w:pPr>
    </w:p>
    <w:p w14:paraId="3E0388D1" w14:textId="0B71F6FF" w:rsidR="00F72433" w:rsidRDefault="008C123E" w:rsidP="003544F2">
      <w:pPr>
        <w:pStyle w:val="P68B1DB1-Normalny4"/>
        <w:keepNext/>
        <w:spacing w:after="0" w:line="240" w:lineRule="auto"/>
        <w:jc w:val="both"/>
        <w:rPr>
          <w:i w:val="0"/>
          <w:iCs/>
        </w:rPr>
      </w:pPr>
      <w:r w:rsidRPr="00432F43">
        <w:rPr>
          <w:i w:val="0"/>
          <w:iCs/>
        </w:rPr>
        <w:t>Dostawcy usług i wszelkie zaangażowane strony trzecie powinny wdrożyć metody zarządzania, które pozwolą im ponosić odpowiedzialność za swoje podejście do zapewniania wieku oraz za wykazanie zgodności z przepisami o ochronie danych i innymi wymogami prawnymi.</w:t>
      </w:r>
    </w:p>
    <w:p w14:paraId="434AA5F6" w14:textId="77777777" w:rsidR="001C3C4D" w:rsidRPr="00432F43" w:rsidRDefault="001C3C4D" w:rsidP="003544F2">
      <w:pPr>
        <w:pStyle w:val="P68B1DB1-Normalny4"/>
        <w:keepNext/>
        <w:spacing w:after="0" w:line="240" w:lineRule="auto"/>
        <w:jc w:val="both"/>
        <w:rPr>
          <w:i w:val="0"/>
          <w:iCs/>
        </w:rPr>
      </w:pPr>
    </w:p>
    <w:p w14:paraId="44BE1B16" w14:textId="3E57BBB7" w:rsidR="0041052B" w:rsidRDefault="008C123E" w:rsidP="00AC5E8A">
      <w:pPr>
        <w:pStyle w:val="Akapitzlist"/>
        <w:numPr>
          <w:ilvl w:val="0"/>
          <w:numId w:val="7"/>
        </w:numPr>
        <w:spacing w:after="0" w:line="240" w:lineRule="auto"/>
        <w:ind w:left="-3"/>
        <w:jc w:val="both"/>
      </w:pPr>
      <w:r>
        <w:t xml:space="preserve">Biorąc pod uwagę zaangażowanie różnych zainteresowanych stron, zarządzanie zapewnieniem wieku odgrywa kluczową rolę w jego rozliczalności. </w:t>
      </w:r>
      <w:r w:rsidR="00AE2A30">
        <w:t xml:space="preserve">Zapewnienie </w:t>
      </w:r>
      <w:r>
        <w:t xml:space="preserve">wieku powinno funkcjonować w ramach zarządzania, zapewniając, aby wszystkie procesy i systemy były projektowane, wdrażane, zmieniane, dokumentowane, oceniane, wykorzystywane, utrzymywane, testowane lub poddawane audytowi w sposób zgodny z przepisami o ochronie danych i innymi wymogami prawnymi. Ramy te powinny obejmować co najmniej politykę ochrony danych (art. 24 ust. 2 RODO) oraz procesy ustalania priorytetów i podejmowania decyzji niezbędne do osiągnięcia celów w zakresie zgodności i odpowiedniego zarządzania ryzykiem w całym cyklu życia </w:t>
      </w:r>
      <w:r w:rsidR="00BB6608">
        <w:t>zapewnienia</w:t>
      </w:r>
      <w:r>
        <w:t xml:space="preserve"> wieku.</w:t>
      </w:r>
    </w:p>
    <w:p w14:paraId="68EEB41B" w14:textId="77777777" w:rsidR="001C3C4D" w:rsidRDefault="001C3C4D" w:rsidP="003544F2">
      <w:pPr>
        <w:pStyle w:val="Akapitzlist"/>
        <w:spacing w:after="0" w:line="240" w:lineRule="auto"/>
        <w:ind w:left="360"/>
        <w:jc w:val="both"/>
      </w:pPr>
    </w:p>
    <w:p w14:paraId="4B101340" w14:textId="4175762E" w:rsidR="0041052B" w:rsidRDefault="008C123E" w:rsidP="00AC5E8A">
      <w:pPr>
        <w:pStyle w:val="Akapitzlist"/>
        <w:numPr>
          <w:ilvl w:val="0"/>
          <w:numId w:val="7"/>
        </w:numPr>
        <w:spacing w:after="0" w:line="240" w:lineRule="auto"/>
        <w:ind w:left="-3"/>
        <w:jc w:val="both"/>
      </w:pPr>
      <w:r>
        <w:t xml:space="preserve">Na przykład ramy zarządzania powinny określać, kto jest odpowiedzialny i w jaki sposób, z perspektywy administratora/podmiotu przetwarzającego, dokładnie za jakie działania lub operacje w ramach </w:t>
      </w:r>
      <w:r>
        <w:lastRenderedPageBreak/>
        <w:t xml:space="preserve">przetwarzania. </w:t>
      </w:r>
      <w:r w:rsidR="00AE2A30">
        <w:t xml:space="preserve">Powinny one </w:t>
      </w:r>
      <w:r>
        <w:t xml:space="preserve">również zapewnić, aby organy i odpowiednie zainteresowane strony mogły skutecznie kontrolować </w:t>
      </w:r>
      <w:r w:rsidR="00AE2A30">
        <w:t xml:space="preserve">zapewnienie </w:t>
      </w:r>
      <w:r>
        <w:t xml:space="preserve">wieku. Ramy zarządzania mają zasadnicze znaczenie dla rozliczalności, ale także dla przejrzystości i zaufania do </w:t>
      </w:r>
      <w:r w:rsidR="00BB6608">
        <w:t>zapewnienia</w:t>
      </w:r>
      <w:r>
        <w:t xml:space="preserve"> wieku. Osoby, których dane dotyczą, częściej ufają metodom, które są przejrzyste w odniesieniu do ich operacji, podejmowania decyzji itp.</w:t>
      </w:r>
    </w:p>
    <w:p w14:paraId="5CA5DB7A" w14:textId="77777777" w:rsidR="007804DC" w:rsidRDefault="007804DC" w:rsidP="003544F2">
      <w:pPr>
        <w:pStyle w:val="Akapitzlist"/>
        <w:spacing w:after="0" w:line="240" w:lineRule="auto"/>
        <w:ind w:left="360"/>
        <w:jc w:val="both"/>
      </w:pPr>
    </w:p>
    <w:p w14:paraId="5AE6C17E" w14:textId="7B38EED1" w:rsidR="00F72433" w:rsidRDefault="008C123E" w:rsidP="00AC5E8A">
      <w:pPr>
        <w:pStyle w:val="Akapitzlist"/>
        <w:numPr>
          <w:ilvl w:val="0"/>
          <w:numId w:val="7"/>
        </w:numPr>
        <w:spacing w:after="0" w:line="240" w:lineRule="auto"/>
        <w:ind w:left="-3"/>
        <w:jc w:val="both"/>
      </w:pPr>
      <w:r>
        <w:t xml:space="preserve">Ponadto część ram zarządzania obejmuje zapewnienie skuteczności (sekcja 2.5), uwzględnianie ochrony danych w fazie projektowania </w:t>
      </w:r>
      <w:r w:rsidR="00D55476">
        <w:t>oraz</w:t>
      </w:r>
      <w:r>
        <w:t xml:space="preserve"> domyślną ochronę danych (sekcja 2.8)</w:t>
      </w:r>
      <w:r w:rsidR="00AE2A30">
        <w:t>, a także</w:t>
      </w:r>
      <w:r>
        <w:t xml:space="preserve"> bezpieczeństwo (sekcja 2.9) </w:t>
      </w:r>
      <w:r w:rsidR="00D55476">
        <w:t>zapewnienia</w:t>
      </w:r>
      <w:r>
        <w:t xml:space="preserve"> wieku.</w:t>
      </w:r>
    </w:p>
    <w:p w14:paraId="338D33EB" w14:textId="77777777" w:rsidR="00F72433" w:rsidRDefault="00F72433" w:rsidP="003544F2">
      <w:pPr>
        <w:spacing w:after="0" w:line="240" w:lineRule="auto"/>
        <w:jc w:val="both"/>
      </w:pPr>
    </w:p>
    <w:p w14:paraId="13CEEEC3" w14:textId="77777777" w:rsidR="00F72433" w:rsidRDefault="00F72433" w:rsidP="003544F2">
      <w:pPr>
        <w:spacing w:after="0" w:line="240" w:lineRule="auto"/>
        <w:jc w:val="both"/>
      </w:pPr>
    </w:p>
    <w:p w14:paraId="1A7E8D16" w14:textId="77777777" w:rsidR="00F72433" w:rsidRDefault="00F72433" w:rsidP="003544F2">
      <w:pPr>
        <w:spacing w:after="0" w:line="240" w:lineRule="auto"/>
        <w:jc w:val="both"/>
      </w:pPr>
    </w:p>
    <w:p w14:paraId="59F2B5AB" w14:textId="21F7CE2F" w:rsidR="00F72433" w:rsidRDefault="00F72433" w:rsidP="003544F2">
      <w:pPr>
        <w:spacing w:after="0" w:line="240" w:lineRule="auto"/>
        <w:jc w:val="both"/>
      </w:pPr>
    </w:p>
    <w:p w14:paraId="18566F8E" w14:textId="77777777" w:rsidR="00F72433" w:rsidRDefault="008C123E" w:rsidP="003544F2">
      <w:pPr>
        <w:pStyle w:val="UnnumberedEDPBParagraph"/>
        <w:spacing w:after="0" w:line="240" w:lineRule="auto"/>
      </w:pPr>
      <w:r>
        <w:t>W imieniu Europejskiej Rady Ochrony Danych</w:t>
      </w:r>
    </w:p>
    <w:p w14:paraId="47025DA6" w14:textId="77777777" w:rsidR="00F72433" w:rsidRDefault="008C123E" w:rsidP="003544F2">
      <w:pPr>
        <w:pStyle w:val="UnnumberedEDPBParagraph"/>
        <w:spacing w:after="0" w:line="240" w:lineRule="auto"/>
      </w:pPr>
      <w:r>
        <w:t>Przewodnicząca</w:t>
      </w:r>
    </w:p>
    <w:p w14:paraId="40CF7296" w14:textId="77777777" w:rsidR="00F72433" w:rsidRDefault="00F72433" w:rsidP="003544F2">
      <w:pPr>
        <w:pStyle w:val="UnnumberedEDPBParagraph"/>
        <w:spacing w:after="0" w:line="240" w:lineRule="auto"/>
      </w:pPr>
    </w:p>
    <w:p w14:paraId="35771714" w14:textId="5E82BE0C" w:rsidR="00F72433" w:rsidRDefault="008C123E" w:rsidP="003544F2">
      <w:pPr>
        <w:pStyle w:val="UnnumberedEDPBParagraph"/>
        <w:spacing w:after="0" w:line="240" w:lineRule="auto"/>
        <w:rPr>
          <w:rFonts w:asciiTheme="majorHAnsi" w:eastAsiaTheme="majorEastAsia" w:hAnsiTheme="majorHAnsi" w:cstheme="majorBidi"/>
          <w:caps/>
          <w:color w:val="2E74B5" w:themeColor="accent1" w:themeShade="BF"/>
          <w:sz w:val="32"/>
        </w:rPr>
      </w:pPr>
      <w:r>
        <w:t>(</w:t>
      </w:r>
      <w:proofErr w:type="spellStart"/>
      <w:r>
        <w:t>Anu</w:t>
      </w:r>
      <w:proofErr w:type="spellEnd"/>
      <w:r>
        <w:t xml:space="preserve"> Talus)</w:t>
      </w:r>
      <w:bookmarkEnd w:id="0"/>
    </w:p>
    <w:sectPr w:rsidR="00F72433">
      <w:headerReference w:type="default" r:id="rId9"/>
      <w:footerReference w:type="default" r:id="rId1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F641E" w14:textId="77777777" w:rsidR="00E1420D" w:rsidRDefault="00E1420D">
      <w:pPr>
        <w:spacing w:after="0" w:line="240" w:lineRule="auto"/>
      </w:pPr>
      <w:r>
        <w:separator/>
      </w:r>
    </w:p>
  </w:endnote>
  <w:endnote w:type="continuationSeparator" w:id="0">
    <w:p w14:paraId="3492CCD2" w14:textId="77777777" w:rsidR="00E1420D" w:rsidRDefault="00E1420D">
      <w:pPr>
        <w:spacing w:after="0" w:line="240" w:lineRule="auto"/>
      </w:pPr>
      <w:r>
        <w:continuationSeparator/>
      </w:r>
    </w:p>
  </w:endnote>
  <w:endnote w:type="continuationNotice" w:id="1">
    <w:p w14:paraId="69DF7D8A" w14:textId="77777777" w:rsidR="00E1420D" w:rsidRDefault="00E142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342952"/>
      <w:docPartObj>
        <w:docPartGallery w:val="Page Numbers (Bottom of Page)"/>
        <w:docPartUnique/>
      </w:docPartObj>
    </w:sdtPr>
    <w:sdtEndPr/>
    <w:sdtContent>
      <w:p w14:paraId="174EC6F7" w14:textId="63047757" w:rsidR="00F72433" w:rsidRDefault="008C123E">
        <w:pPr>
          <w:pStyle w:val="Stopka"/>
        </w:pPr>
        <w:r>
          <w:t>Pr</w:t>
        </w:r>
        <w:r w:rsidR="002A0EE4">
          <w:t>zyjęto</w:t>
        </w:r>
        <w:r>
          <w:tab/>
        </w:r>
        <w:r>
          <w:tab/>
        </w:r>
        <w:r>
          <w:fldChar w:fldCharType="begin"/>
        </w:r>
        <w:r>
          <w:instrText>PAGE   \* MERGEFORMAT</w:instrText>
        </w:r>
        <w:r>
          <w:fldChar w:fldCharType="separate"/>
        </w:r>
        <w:r w:rsidR="00A60B22">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DBB5" w14:textId="77777777" w:rsidR="00E1420D" w:rsidRDefault="00E1420D">
      <w:pPr>
        <w:spacing w:after="0" w:line="240" w:lineRule="auto"/>
      </w:pPr>
      <w:r>
        <w:separator/>
      </w:r>
    </w:p>
  </w:footnote>
  <w:footnote w:type="continuationSeparator" w:id="0">
    <w:p w14:paraId="0F85EB1C" w14:textId="77777777" w:rsidR="00E1420D" w:rsidRDefault="00E1420D">
      <w:pPr>
        <w:spacing w:after="0" w:line="240" w:lineRule="auto"/>
      </w:pPr>
      <w:r>
        <w:continuationSeparator/>
      </w:r>
    </w:p>
  </w:footnote>
  <w:footnote w:type="continuationNotice" w:id="1">
    <w:p w14:paraId="58A5E68D" w14:textId="77777777" w:rsidR="00E1420D" w:rsidRDefault="00E1420D">
      <w:pPr>
        <w:spacing w:after="0" w:line="240" w:lineRule="auto"/>
      </w:pPr>
    </w:p>
  </w:footnote>
  <w:footnote w:id="2">
    <w:p w14:paraId="7AA3FB8A" w14:textId="0D1AC3FD" w:rsidR="008226EE" w:rsidRPr="00432F43" w:rsidRDefault="008226EE">
      <w:pPr>
        <w:pStyle w:val="Tekstprzypisudolnego"/>
        <w:rPr>
          <w:sz w:val="16"/>
          <w:szCs w:val="16"/>
        </w:rPr>
      </w:pPr>
      <w:r w:rsidRPr="00432F43">
        <w:rPr>
          <w:rStyle w:val="Odwoanieprzypisudolnego"/>
          <w:sz w:val="16"/>
          <w:szCs w:val="16"/>
        </w:rPr>
        <w:footnoteRef/>
      </w:r>
      <w:r w:rsidRPr="00432F43">
        <w:rPr>
          <w:sz w:val="16"/>
          <w:szCs w:val="16"/>
        </w:rPr>
        <w:t xml:space="preserve"> Drobne poprawki w formatowaniu tego dokumentu zostały wprowadzone 24 lutego 2025 r.</w:t>
      </w:r>
    </w:p>
  </w:footnote>
  <w:footnote w:id="3">
    <w:p w14:paraId="27483078" w14:textId="323C2CF4" w:rsidR="00F72433" w:rsidRDefault="008C123E" w:rsidP="00771272">
      <w:pPr>
        <w:pStyle w:val="Tekstprzypisudolnego"/>
        <w:jc w:val="both"/>
        <w:rPr>
          <w:sz w:val="16"/>
        </w:rPr>
      </w:pPr>
      <w:r>
        <w:rPr>
          <w:rStyle w:val="Odwoanieprzypisudolnego"/>
          <w:sz w:val="16"/>
        </w:rPr>
        <w:footnoteRef/>
      </w:r>
      <w:r>
        <w:rPr>
          <w:sz w:val="16"/>
        </w:rPr>
        <w:t xml:space="preserve"> Dyrektywa Parlamentu Europejskiego i Rady (UE</w:t>
      </w:r>
      <w:r w:rsidR="00771272" w:rsidRPr="00771272">
        <w:rPr>
          <w:sz w:val="16"/>
        </w:rPr>
        <w:t>) 2018/1808 z dnia 14 listopada 2018 r. zmieniająca dyrektywę 2010/13/UE w sprawie</w:t>
      </w:r>
      <w:r w:rsidR="00771272">
        <w:rPr>
          <w:sz w:val="16"/>
        </w:rPr>
        <w:t xml:space="preserve"> </w:t>
      </w:r>
      <w:r w:rsidR="00771272" w:rsidRPr="00771272">
        <w:rPr>
          <w:sz w:val="16"/>
        </w:rPr>
        <w:t>koordynacji niektórych przepisów ustawowych, wykonawczych i administracyjnych państw członkowskich dotyczących świadczenia audiowizualnych usług medialnych (dyrektywa o audiowizualnych usługach medialnych) ze względu na zmianę sytuacji na rynku</w:t>
      </w:r>
      <w:r w:rsidR="00771272">
        <w:rPr>
          <w:sz w:val="16"/>
        </w:rPr>
        <w:t>,</w:t>
      </w:r>
      <w:r w:rsidR="00771272" w:rsidRPr="00771272">
        <w:rPr>
          <w:sz w:val="16"/>
        </w:rPr>
        <w:t xml:space="preserve"> </w:t>
      </w:r>
      <w:hyperlink r:id="rId1" w:history="1">
        <w:r>
          <w:rPr>
            <w:rStyle w:val="Hipercze"/>
            <w:sz w:val="16"/>
          </w:rPr>
          <w:t>https://eur-lex.europa.eu/eli/dir/2018/1808/oj</w:t>
        </w:r>
      </w:hyperlink>
      <w:r>
        <w:rPr>
          <w:sz w:val="16"/>
        </w:rPr>
        <w:t xml:space="preserve"> </w:t>
      </w:r>
    </w:p>
  </w:footnote>
  <w:footnote w:id="4">
    <w:p w14:paraId="7386B430" w14:textId="6F0E1DE4" w:rsidR="00F72433" w:rsidRPr="00963115" w:rsidRDefault="008C123E" w:rsidP="00963115">
      <w:pPr>
        <w:pStyle w:val="Tekstprzypisudolnego"/>
        <w:jc w:val="both"/>
        <w:rPr>
          <w:sz w:val="16"/>
        </w:rPr>
      </w:pPr>
      <w:r>
        <w:rPr>
          <w:rStyle w:val="Odwoanieprzypisudolnego"/>
          <w:sz w:val="16"/>
        </w:rPr>
        <w:footnoteRef/>
      </w:r>
      <w:r w:rsidR="00963115">
        <w:rPr>
          <w:sz w:val="16"/>
        </w:rPr>
        <w:t xml:space="preserve"> </w:t>
      </w:r>
      <w:r>
        <w:rPr>
          <w:sz w:val="16"/>
        </w:rPr>
        <w:t xml:space="preserve">Rozporządzenie Parlamentu Europejskiego i Rady (UE) </w:t>
      </w:r>
      <w:r w:rsidR="00963115" w:rsidRPr="00963115">
        <w:rPr>
          <w:sz w:val="16"/>
        </w:rPr>
        <w:t>2022/2065 z dnia 19 października 2022 r.</w:t>
      </w:r>
      <w:r w:rsidR="00963115">
        <w:rPr>
          <w:sz w:val="16"/>
        </w:rPr>
        <w:t xml:space="preserve"> </w:t>
      </w:r>
      <w:r w:rsidR="00963115" w:rsidRPr="00963115">
        <w:rPr>
          <w:sz w:val="16"/>
        </w:rPr>
        <w:t xml:space="preserve">w sprawie jednolitego rynku usług cyfrowych oraz zmiany dyrektywy 2000/31/WE (akt o usługach </w:t>
      </w:r>
      <w:r w:rsidR="00963115">
        <w:rPr>
          <w:sz w:val="16"/>
        </w:rPr>
        <w:t xml:space="preserve"> </w:t>
      </w:r>
      <w:r w:rsidR="00963115" w:rsidRPr="00963115">
        <w:rPr>
          <w:sz w:val="16"/>
        </w:rPr>
        <w:t>cyfrowych)</w:t>
      </w:r>
      <w:r w:rsidR="00963115">
        <w:rPr>
          <w:sz w:val="16"/>
        </w:rPr>
        <w:t xml:space="preserve">, </w:t>
      </w:r>
      <w:hyperlink r:id="rId2" w:history="1">
        <w:r w:rsidR="00963115" w:rsidRPr="001714B6">
          <w:rPr>
            <w:rStyle w:val="Hipercze"/>
            <w:sz w:val="16"/>
          </w:rPr>
          <w:t>https://eur-lex.europa.eu/eli/reg/2022/2065/oj.</w:t>
        </w:r>
      </w:hyperlink>
      <w:r>
        <w:t xml:space="preserve"> </w:t>
      </w:r>
    </w:p>
  </w:footnote>
  <w:footnote w:id="5">
    <w:p w14:paraId="25F52A63" w14:textId="00F94418" w:rsidR="00F72433" w:rsidRPr="00771272" w:rsidRDefault="008C123E">
      <w:pPr>
        <w:pStyle w:val="Tekstprzypisudolnego"/>
        <w:jc w:val="both"/>
        <w:rPr>
          <w:sz w:val="16"/>
          <w:lang w:val="en-GB"/>
        </w:rPr>
      </w:pPr>
      <w:r>
        <w:rPr>
          <w:rStyle w:val="Odwoanieprzypisudolnego"/>
          <w:sz w:val="16"/>
        </w:rPr>
        <w:footnoteRef/>
      </w:r>
      <w:r w:rsidRPr="00771272">
        <w:rPr>
          <w:sz w:val="16"/>
          <w:lang w:val="en-GB"/>
        </w:rPr>
        <w:t xml:space="preserve"> Better Internet for Kids [</w:t>
      </w:r>
      <w:proofErr w:type="spellStart"/>
      <w:r w:rsidRPr="00771272">
        <w:rPr>
          <w:sz w:val="16"/>
          <w:lang w:val="en-GB"/>
        </w:rPr>
        <w:t>Lepszy</w:t>
      </w:r>
      <w:proofErr w:type="spellEnd"/>
      <w:r w:rsidRPr="00771272">
        <w:rPr>
          <w:sz w:val="16"/>
          <w:lang w:val="en-GB"/>
        </w:rPr>
        <w:t xml:space="preserve"> internet </w:t>
      </w:r>
      <w:proofErr w:type="spellStart"/>
      <w:r w:rsidRPr="00771272">
        <w:rPr>
          <w:sz w:val="16"/>
          <w:lang w:val="en-GB"/>
        </w:rPr>
        <w:t>dla</w:t>
      </w:r>
      <w:proofErr w:type="spellEnd"/>
      <w:r w:rsidRPr="00771272">
        <w:rPr>
          <w:sz w:val="16"/>
          <w:lang w:val="en-GB"/>
        </w:rPr>
        <w:t xml:space="preserve"> </w:t>
      </w:r>
      <w:proofErr w:type="spellStart"/>
      <w:r w:rsidRPr="00771272">
        <w:rPr>
          <w:sz w:val="16"/>
          <w:lang w:val="en-GB"/>
        </w:rPr>
        <w:t>dzieci</w:t>
      </w:r>
      <w:proofErr w:type="spellEnd"/>
      <w:r w:rsidRPr="00771272">
        <w:rPr>
          <w:sz w:val="16"/>
          <w:lang w:val="en-GB"/>
        </w:rPr>
        <w:t xml:space="preserve">], Guide to age assurance, </w:t>
      </w:r>
      <w:hyperlink r:id="rId3" w:history="1">
        <w:r w:rsidR="00963115" w:rsidRPr="001714B6">
          <w:rPr>
            <w:rStyle w:val="Hipercze"/>
            <w:sz w:val="16"/>
            <w:lang w:val="en-GB"/>
          </w:rPr>
          <w:t>https://better-internet-for-kids.europa.eu/en/age-assurance-guide-oldest</w:t>
        </w:r>
      </w:hyperlink>
      <w:r w:rsidR="00963115">
        <w:rPr>
          <w:sz w:val="16"/>
          <w:lang w:val="en-GB"/>
        </w:rPr>
        <w:t xml:space="preserve">. </w:t>
      </w:r>
    </w:p>
  </w:footnote>
  <w:footnote w:id="6">
    <w:p w14:paraId="4FA776AA" w14:textId="627A5CD7" w:rsidR="00963115" w:rsidRPr="00963115" w:rsidRDefault="00963115" w:rsidP="00963115">
      <w:pPr>
        <w:pStyle w:val="Tekstprzypisudolnego"/>
        <w:jc w:val="both"/>
        <w:rPr>
          <w:sz w:val="16"/>
        </w:rPr>
      </w:pPr>
      <w:r w:rsidRPr="00963115">
        <w:rPr>
          <w:rStyle w:val="Odwoanieprzypisudolnego"/>
          <w:sz w:val="16"/>
          <w:szCs w:val="16"/>
        </w:rPr>
        <w:footnoteRef/>
      </w:r>
      <w:r w:rsidRPr="00963115">
        <w:rPr>
          <w:sz w:val="16"/>
          <w:szCs w:val="16"/>
          <w:lang w:val="en-GB"/>
        </w:rPr>
        <w:t xml:space="preserve"> </w:t>
      </w:r>
      <w:proofErr w:type="spellStart"/>
      <w:r w:rsidRPr="00771272">
        <w:rPr>
          <w:sz w:val="16"/>
          <w:lang w:val="en-GB"/>
        </w:rPr>
        <w:t>Raiz</w:t>
      </w:r>
      <w:proofErr w:type="spellEnd"/>
      <w:r w:rsidRPr="00771272">
        <w:rPr>
          <w:sz w:val="16"/>
          <w:lang w:val="en-GB"/>
        </w:rPr>
        <w:t xml:space="preserve"> </w:t>
      </w:r>
      <w:proofErr w:type="spellStart"/>
      <w:r w:rsidRPr="00771272">
        <w:rPr>
          <w:sz w:val="16"/>
          <w:lang w:val="en-GB"/>
        </w:rPr>
        <w:t>Shaffique</w:t>
      </w:r>
      <w:proofErr w:type="spellEnd"/>
      <w:r w:rsidRPr="00771272">
        <w:rPr>
          <w:sz w:val="16"/>
          <w:lang w:val="en-GB"/>
        </w:rPr>
        <w:t xml:space="preserve">, M., &amp; van der Hof, S. (2024). </w:t>
      </w:r>
      <w:bookmarkStart w:id="2" w:name="_Hlk190176331"/>
      <w:r>
        <w:rPr>
          <w:sz w:val="16"/>
        </w:rPr>
        <w:t>Mapowanie typologii i wymagań dotyczących zapewnienia wieku</w:t>
      </w:r>
      <w:bookmarkEnd w:id="2"/>
      <w:r>
        <w:rPr>
          <w:sz w:val="16"/>
        </w:rPr>
        <w:t xml:space="preserve">. Sprawozdanie z badań, część projektu „Lepszy </w:t>
      </w:r>
      <w:proofErr w:type="spellStart"/>
      <w:r>
        <w:rPr>
          <w:sz w:val="16"/>
        </w:rPr>
        <w:t>internet</w:t>
      </w:r>
      <w:proofErr w:type="spellEnd"/>
      <w:r>
        <w:rPr>
          <w:sz w:val="16"/>
        </w:rPr>
        <w:t xml:space="preserve"> dla dzieci” (BIK) koordynowanego przez </w:t>
      </w:r>
      <w:proofErr w:type="spellStart"/>
      <w:r>
        <w:rPr>
          <w:sz w:val="16"/>
        </w:rPr>
        <w:t>European</w:t>
      </w:r>
      <w:proofErr w:type="spellEnd"/>
      <w:r>
        <w:rPr>
          <w:sz w:val="16"/>
        </w:rPr>
        <w:t xml:space="preserve"> </w:t>
      </w:r>
      <w:proofErr w:type="spellStart"/>
      <w:r>
        <w:rPr>
          <w:sz w:val="16"/>
        </w:rPr>
        <w:t>Schoolnet</w:t>
      </w:r>
      <w:proofErr w:type="spellEnd"/>
      <w:r>
        <w:rPr>
          <w:sz w:val="16"/>
        </w:rPr>
        <w:t xml:space="preserve"> (EUN) i zleconego przez Komisję Europejską.</w:t>
      </w:r>
    </w:p>
  </w:footnote>
  <w:footnote w:id="7">
    <w:p w14:paraId="4A108E39" w14:textId="34506832" w:rsidR="00F72433" w:rsidRDefault="008C123E">
      <w:pPr>
        <w:pStyle w:val="Tekstprzypisudolnego"/>
        <w:jc w:val="both"/>
      </w:pPr>
      <w:r>
        <w:rPr>
          <w:rStyle w:val="Odwoanieprzypisudolnego"/>
          <w:sz w:val="16"/>
        </w:rPr>
        <w:footnoteRef/>
      </w:r>
      <w:r w:rsidR="00AE33F0">
        <w:rPr>
          <w:sz w:val="16"/>
          <w:lang w:val="en-GB"/>
        </w:rPr>
        <w:t xml:space="preserve"> </w:t>
      </w:r>
      <w:proofErr w:type="spellStart"/>
      <w:r w:rsidRPr="00771272">
        <w:rPr>
          <w:sz w:val="16"/>
          <w:lang w:val="en-GB"/>
        </w:rPr>
        <w:t>Informacje</w:t>
      </w:r>
      <w:proofErr w:type="spellEnd"/>
      <w:r w:rsidRPr="00771272">
        <w:rPr>
          <w:sz w:val="16"/>
          <w:lang w:val="en-GB"/>
        </w:rPr>
        <w:t xml:space="preserve"> </w:t>
      </w:r>
      <w:proofErr w:type="spellStart"/>
      <w:r w:rsidRPr="00771272">
        <w:rPr>
          <w:sz w:val="16"/>
          <w:lang w:val="en-GB"/>
        </w:rPr>
        <w:t>na</w:t>
      </w:r>
      <w:proofErr w:type="spellEnd"/>
      <w:r w:rsidRPr="00771272">
        <w:rPr>
          <w:sz w:val="16"/>
          <w:lang w:val="en-GB"/>
        </w:rPr>
        <w:t xml:space="preserve"> </w:t>
      </w:r>
      <w:proofErr w:type="spellStart"/>
      <w:r w:rsidRPr="00771272">
        <w:rPr>
          <w:sz w:val="16"/>
          <w:lang w:val="en-GB"/>
        </w:rPr>
        <w:t>temat</w:t>
      </w:r>
      <w:proofErr w:type="spellEnd"/>
      <w:r w:rsidRPr="00771272">
        <w:rPr>
          <w:sz w:val="16"/>
          <w:lang w:val="en-GB"/>
        </w:rPr>
        <w:t xml:space="preserve"> </w:t>
      </w:r>
      <w:proofErr w:type="spellStart"/>
      <w:r w:rsidRPr="00771272">
        <w:rPr>
          <w:sz w:val="16"/>
          <w:lang w:val="en-GB"/>
        </w:rPr>
        <w:t>potencjalnego</w:t>
      </w:r>
      <w:proofErr w:type="spellEnd"/>
      <w:r w:rsidRPr="00771272">
        <w:rPr>
          <w:sz w:val="16"/>
          <w:lang w:val="en-GB"/>
        </w:rPr>
        <w:t xml:space="preserve"> </w:t>
      </w:r>
      <w:proofErr w:type="spellStart"/>
      <w:r w:rsidRPr="00771272">
        <w:rPr>
          <w:sz w:val="16"/>
          <w:lang w:val="en-GB"/>
        </w:rPr>
        <w:t>wpływu</w:t>
      </w:r>
      <w:proofErr w:type="spellEnd"/>
      <w:r w:rsidRPr="00771272">
        <w:rPr>
          <w:sz w:val="16"/>
          <w:lang w:val="en-GB"/>
        </w:rPr>
        <w:t xml:space="preserve"> </w:t>
      </w:r>
      <w:proofErr w:type="spellStart"/>
      <w:r w:rsidR="00666C97">
        <w:rPr>
          <w:sz w:val="16"/>
          <w:lang w:val="en-GB"/>
        </w:rPr>
        <w:t>zapewnienia</w:t>
      </w:r>
      <w:proofErr w:type="spellEnd"/>
      <w:r w:rsidRPr="00771272">
        <w:rPr>
          <w:sz w:val="16"/>
          <w:lang w:val="en-GB"/>
        </w:rPr>
        <w:t xml:space="preserve"> </w:t>
      </w:r>
      <w:proofErr w:type="spellStart"/>
      <w:r w:rsidRPr="00771272">
        <w:rPr>
          <w:sz w:val="16"/>
          <w:lang w:val="en-GB"/>
        </w:rPr>
        <w:t>wieku</w:t>
      </w:r>
      <w:proofErr w:type="spellEnd"/>
      <w:r w:rsidRPr="00771272">
        <w:rPr>
          <w:sz w:val="16"/>
          <w:lang w:val="en-GB"/>
        </w:rPr>
        <w:t xml:space="preserve"> </w:t>
      </w:r>
      <w:proofErr w:type="spellStart"/>
      <w:r w:rsidRPr="00771272">
        <w:rPr>
          <w:sz w:val="16"/>
          <w:lang w:val="en-GB"/>
        </w:rPr>
        <w:t>na</w:t>
      </w:r>
      <w:proofErr w:type="spellEnd"/>
      <w:r w:rsidRPr="00771272">
        <w:rPr>
          <w:sz w:val="16"/>
          <w:lang w:val="en-GB"/>
        </w:rPr>
        <w:t xml:space="preserve"> </w:t>
      </w:r>
      <w:proofErr w:type="spellStart"/>
      <w:r w:rsidRPr="00771272">
        <w:rPr>
          <w:sz w:val="16"/>
          <w:lang w:val="en-GB"/>
        </w:rPr>
        <w:t>prawa</w:t>
      </w:r>
      <w:proofErr w:type="spellEnd"/>
      <w:r w:rsidRPr="00771272">
        <w:rPr>
          <w:sz w:val="16"/>
          <w:lang w:val="en-GB"/>
        </w:rPr>
        <w:t xml:space="preserve"> i </w:t>
      </w:r>
      <w:proofErr w:type="spellStart"/>
      <w:r w:rsidRPr="00771272">
        <w:rPr>
          <w:sz w:val="16"/>
          <w:lang w:val="en-GB"/>
        </w:rPr>
        <w:t>wolności</w:t>
      </w:r>
      <w:proofErr w:type="spellEnd"/>
      <w:r w:rsidRPr="00771272">
        <w:rPr>
          <w:sz w:val="16"/>
          <w:lang w:val="en-GB"/>
        </w:rPr>
        <w:t xml:space="preserve">, </w:t>
      </w:r>
      <w:proofErr w:type="spellStart"/>
      <w:r w:rsidRPr="00771272">
        <w:rPr>
          <w:sz w:val="16"/>
          <w:lang w:val="en-GB"/>
        </w:rPr>
        <w:t>zob</w:t>
      </w:r>
      <w:proofErr w:type="spellEnd"/>
      <w:r w:rsidRPr="00771272">
        <w:rPr>
          <w:sz w:val="16"/>
          <w:lang w:val="en-GB"/>
        </w:rPr>
        <w:t xml:space="preserve">. np.: „Roadmap for age verification” (Australian </w:t>
      </w:r>
      <w:proofErr w:type="spellStart"/>
      <w:r w:rsidRPr="00771272">
        <w:rPr>
          <w:sz w:val="16"/>
          <w:lang w:val="en-GB"/>
        </w:rPr>
        <w:t>eSafety</w:t>
      </w:r>
      <w:proofErr w:type="spellEnd"/>
      <w:r w:rsidRPr="00771272">
        <w:rPr>
          <w:sz w:val="16"/>
          <w:lang w:val="en-GB"/>
        </w:rPr>
        <w:t xml:space="preserve"> </w:t>
      </w:r>
      <w:proofErr w:type="spellStart"/>
      <w:r w:rsidRPr="00771272">
        <w:rPr>
          <w:sz w:val="16"/>
          <w:lang w:val="en-GB"/>
        </w:rPr>
        <w:t>Commissionner</w:t>
      </w:r>
      <w:proofErr w:type="spellEnd"/>
      <w:r w:rsidRPr="00771272">
        <w:rPr>
          <w:sz w:val="16"/>
          <w:lang w:val="en-GB"/>
        </w:rPr>
        <w:t xml:space="preserve">, 2023) </w:t>
      </w:r>
      <w:hyperlink r:id="rId4" w:history="1">
        <w:r w:rsidRPr="00771272">
          <w:rPr>
            <w:rStyle w:val="Hipercze"/>
            <w:sz w:val="16"/>
            <w:lang w:val="en-GB"/>
          </w:rPr>
          <w:t>https://www.esafety.gov.au/sites/default/files/2023-08/Age-verification-background-report.pdf?v=1731644498261</w:t>
        </w:r>
      </w:hyperlink>
      <w:r w:rsidRPr="00771272">
        <w:rPr>
          <w:sz w:val="16"/>
          <w:lang w:val="en-GB"/>
        </w:rPr>
        <w:t xml:space="preserve">, „A safe internet by default for children and the role of age verification” (AEPD, 2024) </w:t>
      </w:r>
      <w:hyperlink r:id="rId5" w:history="1">
        <w:r w:rsidR="00666C97" w:rsidRPr="001714B6">
          <w:rPr>
            <w:rStyle w:val="Hipercze"/>
            <w:sz w:val="16"/>
            <w:lang w:val="en-GB"/>
          </w:rPr>
          <w:t>https://www.aepd.es/guides/technical-note-safe-internet-by-default-for-children.pdf</w:t>
        </w:r>
      </w:hyperlink>
      <w:r w:rsidR="00666C97">
        <w:rPr>
          <w:sz w:val="16"/>
          <w:lang w:val="en-GB"/>
        </w:rPr>
        <w:t xml:space="preserve"> </w:t>
      </w:r>
      <w:r w:rsidRPr="00666C97">
        <w:rPr>
          <w:sz w:val="16"/>
          <w:lang w:val="en-GB"/>
        </w:rPr>
        <w:t xml:space="preserve"> </w:t>
      </w:r>
      <w:proofErr w:type="spellStart"/>
      <w:r w:rsidR="00666C97">
        <w:rPr>
          <w:sz w:val="16"/>
          <w:lang w:val="en-GB"/>
        </w:rPr>
        <w:t>lub</w:t>
      </w:r>
      <w:proofErr w:type="spellEnd"/>
      <w:r w:rsidRPr="00666C97">
        <w:rPr>
          <w:sz w:val="16"/>
          <w:lang w:val="en-GB"/>
        </w:rPr>
        <w:t xml:space="preserve"> „Trustworthy Age Assurance?” </w:t>
      </w:r>
      <w:r w:rsidRPr="00666C97">
        <w:rPr>
          <w:sz w:val="16"/>
        </w:rPr>
        <w:t xml:space="preserve">[„Bezpieczny </w:t>
      </w:r>
      <w:proofErr w:type="spellStart"/>
      <w:r w:rsidRPr="00666C97">
        <w:rPr>
          <w:sz w:val="16"/>
        </w:rPr>
        <w:t>internet</w:t>
      </w:r>
      <w:proofErr w:type="spellEnd"/>
      <w:r w:rsidRPr="00666C97">
        <w:rPr>
          <w:sz w:val="16"/>
        </w:rPr>
        <w:t xml:space="preserve"> domyślnie dla dzieci i rola weryfikacji wieku”] badanie zlecone przez klaster Zielonych/EFA ds.</w:t>
      </w:r>
      <w:r>
        <w:rPr>
          <w:sz w:val="16"/>
        </w:rPr>
        <w:t xml:space="preserve"> gospodarki ekologicznej i społecznej w Parlamencie Europejskim (2024) </w:t>
      </w:r>
      <w:hyperlink r:id="rId6" w:history="1">
        <w:r>
          <w:rPr>
            <w:rStyle w:val="Hipercze"/>
            <w:sz w:val="16"/>
          </w:rPr>
          <w:t>https://www.greens-efa.eu/en/article/document/trustworthy-age-assurance</w:t>
        </w:r>
      </w:hyperlink>
      <w:r>
        <w:t xml:space="preserve"> </w:t>
      </w:r>
    </w:p>
  </w:footnote>
  <w:footnote w:id="8">
    <w:p w14:paraId="66D2B59C" w14:textId="243B1D3E" w:rsidR="003544F2" w:rsidRDefault="003544F2" w:rsidP="003544F2">
      <w:pPr>
        <w:pStyle w:val="Tekstprzypisudolnego"/>
        <w:jc w:val="both"/>
        <w:rPr>
          <w:rFonts w:ascii="Calibri" w:eastAsia="Calibri" w:hAnsi="Calibri" w:cs="Calibri"/>
          <w:strike/>
          <w:sz w:val="16"/>
        </w:rPr>
      </w:pPr>
      <w:r>
        <w:rPr>
          <w:rStyle w:val="Odwoanieprzypisudolnego"/>
          <w:sz w:val="16"/>
        </w:rPr>
        <w:footnoteRef/>
      </w:r>
      <w:r>
        <w:rPr>
          <w:sz w:val="16"/>
        </w:rPr>
        <w:t xml:space="preserve"> W szczególności Powszechna deklaracja praw człowieka, Europejska konwencja praw człowieka, Karta praw podstawowych Unii Europejskiej oraz Konwencja ONZ o prawach dziecka.</w:t>
      </w:r>
    </w:p>
  </w:footnote>
  <w:footnote w:id="9">
    <w:p w14:paraId="78059618" w14:textId="7EAB4237" w:rsidR="00F72433" w:rsidRDefault="008C123E">
      <w:pPr>
        <w:pStyle w:val="Tekstprzypisudolnego"/>
        <w:jc w:val="both"/>
      </w:pPr>
      <w:r>
        <w:rPr>
          <w:rStyle w:val="Odwoanieprzypisudolnego"/>
        </w:rPr>
        <w:footnoteRef/>
      </w:r>
      <w:r>
        <w:t xml:space="preserve"> </w:t>
      </w:r>
      <w:r w:rsidRPr="00B41200">
        <w:rPr>
          <w:sz w:val="16"/>
          <w:szCs w:val="16"/>
        </w:rPr>
        <w:t>Komitet Praw Dziecka</w:t>
      </w:r>
      <w:r w:rsidR="00B41200">
        <w:rPr>
          <w:sz w:val="16"/>
          <w:szCs w:val="16"/>
        </w:rPr>
        <w:t xml:space="preserve"> </w:t>
      </w:r>
      <w:r w:rsidRPr="00B41200">
        <w:rPr>
          <w:sz w:val="16"/>
          <w:szCs w:val="16"/>
        </w:rPr>
        <w:t xml:space="preserve">ONZ wyjaśnił, że zasada najlepszego interesu </w:t>
      </w:r>
      <w:r w:rsidRPr="00B41200">
        <w:rPr>
          <w:i/>
          <w:sz w:val="16"/>
          <w:szCs w:val="16"/>
        </w:rPr>
        <w:t>„ma na celu zapewnienie zarówno pełnego, jak i skutecznego korzystania ze wszystkich praw uznanych</w:t>
      </w:r>
      <w:r>
        <w:rPr>
          <w:i/>
          <w:sz w:val="16"/>
        </w:rPr>
        <w:t xml:space="preserve"> w konwencji, a także całościowego rozwoju dziecka”.</w:t>
      </w:r>
      <w:r>
        <w:rPr>
          <w:sz w:val="16"/>
        </w:rPr>
        <w:t xml:space="preserve"> </w:t>
      </w:r>
      <w:r>
        <w:rPr>
          <w:rFonts w:ascii="Calibri" w:eastAsia="Calibri" w:hAnsi="Calibri" w:cs="Calibri"/>
          <w:sz w:val="16"/>
        </w:rPr>
        <w:t>Uwaga ogólna nr 14 (2013) dotycząca prawa</w:t>
      </w:r>
      <w:r w:rsidR="0051607E">
        <w:rPr>
          <w:rFonts w:ascii="Calibri" w:eastAsia="Calibri" w:hAnsi="Calibri" w:cs="Calibri"/>
          <w:sz w:val="16"/>
        </w:rPr>
        <w:t xml:space="preserve"> </w:t>
      </w:r>
      <w:r>
        <w:rPr>
          <w:rFonts w:ascii="Calibri" w:eastAsia="Calibri" w:hAnsi="Calibri" w:cs="Calibri"/>
          <w:sz w:val="16"/>
        </w:rPr>
        <w:t>dziecka do priorytetowego traktowania</w:t>
      </w:r>
      <w:r w:rsidR="0051607E">
        <w:rPr>
          <w:rFonts w:ascii="Calibri" w:eastAsia="Calibri" w:hAnsi="Calibri" w:cs="Calibri"/>
          <w:sz w:val="16"/>
        </w:rPr>
        <w:t xml:space="preserve"> </w:t>
      </w:r>
      <w:r>
        <w:rPr>
          <w:rFonts w:ascii="Calibri" w:eastAsia="Calibri" w:hAnsi="Calibri" w:cs="Calibri"/>
          <w:sz w:val="16"/>
        </w:rPr>
        <w:t>jego dobra (art. 3 ust. 1),</w:t>
      </w:r>
      <w:r w:rsidR="0051607E">
        <w:rPr>
          <w:rFonts w:ascii="Calibri" w:eastAsia="Calibri" w:hAnsi="Calibri" w:cs="Calibri"/>
          <w:sz w:val="16"/>
        </w:rPr>
        <w:t xml:space="preserve"> </w:t>
      </w:r>
      <w:hyperlink r:id="rId7" w:history="1">
        <w:r w:rsidRPr="0051607E">
          <w:rPr>
            <w:rFonts w:ascii="Calibri" w:eastAsia="Calibri" w:hAnsi="Calibri" w:cs="Calibri"/>
            <w:sz w:val="16"/>
          </w:rPr>
          <w:t>https://www2.ohchr.org/English/bodies/crc/docs/GC/CRC_C_GC_14_ENG.pdf</w:t>
        </w:r>
      </w:hyperlink>
      <w:r>
        <w:rPr>
          <w:rFonts w:ascii="Calibri" w:eastAsia="Calibri" w:hAnsi="Calibri" w:cs="Calibri"/>
          <w:sz w:val="16"/>
        </w:rPr>
        <w:t xml:space="preserve"> </w:t>
      </w:r>
    </w:p>
  </w:footnote>
  <w:footnote w:id="10">
    <w:p w14:paraId="4DE597C5" w14:textId="0ADDA101" w:rsidR="00F72433" w:rsidRDefault="008C123E">
      <w:pPr>
        <w:pStyle w:val="Tekstprzypisudolnego"/>
        <w:jc w:val="both"/>
      </w:pPr>
      <w:r>
        <w:rPr>
          <w:rStyle w:val="Odwoanieprzypisudolnego"/>
          <w:sz w:val="16"/>
        </w:rPr>
        <w:footnoteRef/>
      </w:r>
      <w:r>
        <w:rPr>
          <w:sz w:val="16"/>
        </w:rPr>
        <w:t xml:space="preserve"> </w:t>
      </w:r>
      <w:r>
        <w:rPr>
          <w:rFonts w:ascii="Calibri" w:eastAsia="Calibri" w:hAnsi="Calibri" w:cs="Calibri"/>
          <w:sz w:val="16"/>
        </w:rPr>
        <w:t xml:space="preserve">Komentarz ogólny nr 25 (2021) w sprawie praw dziecka w odniesieniu do środowiska cyfrowego, </w:t>
      </w:r>
      <w:r w:rsidR="003A5660">
        <w:rPr>
          <w:rFonts w:ascii="Calibri" w:eastAsia="Calibri" w:hAnsi="Calibri" w:cs="Calibri"/>
          <w:sz w:val="16"/>
        </w:rPr>
        <w:t xml:space="preserve">Wysoki Komisarz Narodów </w:t>
      </w:r>
      <w:r w:rsidR="00E23A55">
        <w:rPr>
          <w:rFonts w:ascii="Calibri" w:eastAsia="Calibri" w:hAnsi="Calibri" w:cs="Calibri"/>
          <w:sz w:val="16"/>
        </w:rPr>
        <w:t>Zjednoczonych</w:t>
      </w:r>
      <w:r w:rsidR="003A5660">
        <w:rPr>
          <w:rFonts w:ascii="Calibri" w:eastAsia="Calibri" w:hAnsi="Calibri" w:cs="Calibri"/>
          <w:sz w:val="16"/>
        </w:rPr>
        <w:t xml:space="preserve"> ds. Praw Człowieka (</w:t>
      </w:r>
      <w:r>
        <w:rPr>
          <w:rFonts w:ascii="Calibri" w:eastAsia="Calibri" w:hAnsi="Calibri" w:cs="Calibri"/>
          <w:sz w:val="16"/>
        </w:rPr>
        <w:t>OHCHR</w:t>
      </w:r>
      <w:r w:rsidR="003A5660">
        <w:rPr>
          <w:rFonts w:ascii="Calibri" w:eastAsia="Calibri" w:hAnsi="Calibri" w:cs="Calibri"/>
          <w:sz w:val="16"/>
        </w:rPr>
        <w:t>)</w:t>
      </w:r>
      <w:r>
        <w:rPr>
          <w:rFonts w:ascii="Calibri" w:eastAsia="Calibri" w:hAnsi="Calibri" w:cs="Calibri"/>
          <w:sz w:val="16"/>
        </w:rPr>
        <w:t>, marzec 2021 r.</w:t>
      </w:r>
    </w:p>
  </w:footnote>
  <w:footnote w:id="11">
    <w:p w14:paraId="5E7D5C28" w14:textId="33626A18" w:rsidR="00F72433" w:rsidRDefault="008C123E">
      <w:pPr>
        <w:pStyle w:val="Tekstprzypisudolnego"/>
        <w:jc w:val="both"/>
        <w:rPr>
          <w:sz w:val="16"/>
        </w:rPr>
      </w:pPr>
      <w:r>
        <w:rPr>
          <w:rStyle w:val="Odwoanieprzypisudolnego"/>
          <w:sz w:val="16"/>
        </w:rPr>
        <w:footnoteRef/>
      </w:r>
      <w:r>
        <w:rPr>
          <w:sz w:val="16"/>
        </w:rPr>
        <w:t xml:space="preserve"> Na przykład ocena skutków dla praw dziecka („CRIA”), która może, ale nie musi być częścią oceny skutków dla ochrony danych. </w:t>
      </w:r>
    </w:p>
  </w:footnote>
  <w:footnote w:id="12">
    <w:p w14:paraId="02924820" w14:textId="2177D824" w:rsidR="00F72433" w:rsidRDefault="008C123E">
      <w:pPr>
        <w:pStyle w:val="Tekstprzypisudolnego"/>
        <w:jc w:val="both"/>
      </w:pPr>
      <w:r>
        <w:rPr>
          <w:rStyle w:val="Odwoanieprzypisudolnego"/>
          <w:sz w:val="16"/>
        </w:rPr>
        <w:footnoteRef/>
      </w:r>
      <w:r>
        <w:rPr>
          <w:sz w:val="16"/>
        </w:rPr>
        <w:t xml:space="preserve"> </w:t>
      </w:r>
      <w:r>
        <w:rPr>
          <w:rFonts w:ascii="Calibri" w:eastAsia="Calibri" w:hAnsi="Calibri" w:cs="Calibri"/>
          <w:sz w:val="16"/>
        </w:rPr>
        <w:t xml:space="preserve">Eksperci w dziedzinie praw dziecka podkreślili korzyści płynące z wykorzystania ocen skutków dla praw dziecka (CRIA) jako skutecznego narzędzia </w:t>
      </w:r>
      <w:r>
        <w:rPr>
          <w:rFonts w:ascii="Calibri" w:eastAsia="Calibri" w:hAnsi="Calibri" w:cs="Calibri"/>
          <w:i/>
          <w:sz w:val="16"/>
        </w:rPr>
        <w:t xml:space="preserve">„do przełożenia Konwencji [o prawach dziecka] i jej art. 3, dotyczącego priorytetowego traktowania najlepszego interesu dziecka, na praktykę w konkretny, ustrukturyzowany sposób” </w:t>
      </w:r>
      <w:r>
        <w:rPr>
          <w:rFonts w:ascii="Calibri" w:eastAsia="Calibri" w:hAnsi="Calibri" w:cs="Calibri"/>
          <w:sz w:val="16"/>
        </w:rPr>
        <w:t xml:space="preserve">(w: </w:t>
      </w:r>
      <w:proofErr w:type="spellStart"/>
      <w:r>
        <w:rPr>
          <w:rFonts w:ascii="Calibri" w:eastAsia="Calibri" w:hAnsi="Calibri" w:cs="Calibri"/>
          <w:sz w:val="16"/>
        </w:rPr>
        <w:t>Mukherjee</w:t>
      </w:r>
      <w:proofErr w:type="spellEnd"/>
      <w:r>
        <w:rPr>
          <w:rFonts w:ascii="Calibri" w:eastAsia="Calibri" w:hAnsi="Calibri" w:cs="Calibri"/>
          <w:sz w:val="16"/>
        </w:rPr>
        <w:t xml:space="preserve">, S., </w:t>
      </w:r>
      <w:proofErr w:type="spellStart"/>
      <w:r>
        <w:rPr>
          <w:rFonts w:ascii="Calibri" w:eastAsia="Calibri" w:hAnsi="Calibri" w:cs="Calibri"/>
          <w:sz w:val="16"/>
        </w:rPr>
        <w:t>Pothong</w:t>
      </w:r>
      <w:proofErr w:type="spellEnd"/>
      <w:r>
        <w:rPr>
          <w:rFonts w:ascii="Calibri" w:eastAsia="Calibri" w:hAnsi="Calibri" w:cs="Calibri"/>
          <w:sz w:val="16"/>
        </w:rPr>
        <w:t xml:space="preserve">, K., &amp; </w:t>
      </w:r>
      <w:proofErr w:type="spellStart"/>
      <w:r>
        <w:rPr>
          <w:rFonts w:ascii="Calibri" w:eastAsia="Calibri" w:hAnsi="Calibri" w:cs="Calibri"/>
          <w:sz w:val="16"/>
        </w:rPr>
        <w:t>Livingstone</w:t>
      </w:r>
      <w:proofErr w:type="spellEnd"/>
      <w:r>
        <w:rPr>
          <w:rFonts w:ascii="Calibri" w:eastAsia="Calibri" w:hAnsi="Calibri" w:cs="Calibri"/>
          <w:sz w:val="16"/>
        </w:rPr>
        <w:t>, S. (2021). Ocena wpływu na prawa dziecka: Narzędzie służące realizacji praw dziecka w środowisku cyfrowym. Londyn: Fundacja 5Rights)</w:t>
      </w:r>
      <w:r>
        <w:rPr>
          <w:rFonts w:ascii="Calibri" w:eastAsia="Calibri" w:hAnsi="Calibri" w:cs="Calibri"/>
          <w:i/>
          <w:sz w:val="16"/>
        </w:rPr>
        <w:t xml:space="preserve">. </w:t>
      </w:r>
      <w:r>
        <w:rPr>
          <w:rFonts w:ascii="Calibri" w:eastAsia="Calibri" w:hAnsi="Calibri" w:cs="Calibri"/>
          <w:sz w:val="16"/>
        </w:rPr>
        <w:t>Ponadto Komitet ONZ wezwał państwa do upoważnienia do korzystania z CRIA w celu włączenia praw dziecka do regulacji i projektowania środowiska cyfrowego.</w:t>
      </w:r>
    </w:p>
  </w:footnote>
  <w:footnote w:id="13">
    <w:p w14:paraId="16B02341" w14:textId="77777777" w:rsidR="00F72433" w:rsidRDefault="008C123E">
      <w:pPr>
        <w:spacing w:after="0" w:line="257" w:lineRule="auto"/>
        <w:rPr>
          <w:rFonts w:ascii="Calibri" w:eastAsia="Calibri" w:hAnsi="Calibri" w:cs="Calibri"/>
          <w:sz w:val="16"/>
        </w:rPr>
      </w:pPr>
      <w:r w:rsidRPr="00432F43">
        <w:rPr>
          <w:rStyle w:val="Odwoanieprzypisudolnego"/>
          <w:sz w:val="16"/>
          <w:szCs w:val="16"/>
        </w:rPr>
        <w:footnoteRef/>
      </w:r>
      <w:r>
        <w:t xml:space="preserve"> </w:t>
      </w:r>
      <w:r>
        <w:rPr>
          <w:rFonts w:ascii="Calibri" w:eastAsia="Calibri" w:hAnsi="Calibri" w:cs="Calibri"/>
          <w:sz w:val="16"/>
        </w:rPr>
        <w:t>Komentarz ogólny nr 25 (2021) w sprawie praw dziecka w odniesieniu do środowiska cyfrowego, OHCHR, marzec 2021 r.</w:t>
      </w:r>
    </w:p>
  </w:footnote>
  <w:footnote w:id="14">
    <w:p w14:paraId="5A1A05B4" w14:textId="0ECD9B33" w:rsidR="00F72433" w:rsidRDefault="008C123E">
      <w:pPr>
        <w:pStyle w:val="Tekstprzypisudolnego"/>
        <w:jc w:val="both"/>
        <w:rPr>
          <w:sz w:val="16"/>
        </w:rPr>
      </w:pPr>
      <w:r w:rsidRPr="00432F43">
        <w:rPr>
          <w:rStyle w:val="Odwoanieprzypisudolnego"/>
          <w:sz w:val="16"/>
          <w:szCs w:val="16"/>
        </w:rPr>
        <w:footnoteRef/>
      </w:r>
      <w:r>
        <w:t xml:space="preserve"> </w:t>
      </w:r>
      <w:r>
        <w:rPr>
          <w:sz w:val="16"/>
        </w:rPr>
        <w:t xml:space="preserve">Wytyczne EROD w sprawie oceny skutków dla ochrony danych oraz ustalenia, czy przetwarzanie „może powodować wysokie ryzyko” do celów rozporządzenia 2016/679, </w:t>
      </w:r>
      <w:hyperlink r:id="rId8" w:history="1">
        <w:r>
          <w:rPr>
            <w:rStyle w:val="Hipercze"/>
            <w:sz w:val="16"/>
          </w:rPr>
          <w:t>https://ec.europa.eu/newsroom/article29/items/611236/en</w:t>
        </w:r>
      </w:hyperlink>
      <w:r>
        <w:rPr>
          <w:sz w:val="16"/>
        </w:rPr>
        <w:t xml:space="preserve"> </w:t>
      </w:r>
    </w:p>
  </w:footnote>
  <w:footnote w:id="15">
    <w:p w14:paraId="127470F5" w14:textId="07AAA7DE" w:rsidR="00F72433" w:rsidRDefault="008C123E">
      <w:pPr>
        <w:pStyle w:val="Tekstprzypisudolnego"/>
        <w:jc w:val="both"/>
      </w:pPr>
      <w:r>
        <w:rPr>
          <w:rStyle w:val="Odwoanieprzypisudolnego"/>
          <w:sz w:val="16"/>
        </w:rPr>
        <w:footnoteRef/>
      </w:r>
      <w:r>
        <w:rPr>
          <w:sz w:val="16"/>
        </w:rPr>
        <w:t xml:space="preserve"> Wytyczne EIOD w sprawie oceny proporcjonalności środków ograniczających podstawowe prawa do prywatności i ochrony danych osobowych, </w:t>
      </w:r>
      <w:hyperlink r:id="rId9" w:history="1">
        <w:r>
          <w:rPr>
            <w:rStyle w:val="Hipercze"/>
            <w:sz w:val="16"/>
          </w:rPr>
          <w:t>https://www.edps.europa.eu/sites/default/files/publication/19-02-25_proportionality_guidelines_en.pdf</w:t>
        </w:r>
      </w:hyperlink>
      <w:r>
        <w:rPr>
          <w:sz w:val="16"/>
        </w:rPr>
        <w:t xml:space="preserve"> </w:t>
      </w:r>
    </w:p>
  </w:footnote>
  <w:footnote w:id="16">
    <w:p w14:paraId="1A12CCF2" w14:textId="7C8472BC" w:rsidR="00F72433" w:rsidRDefault="008C123E">
      <w:pPr>
        <w:pStyle w:val="Tekstprzypisudolnego"/>
        <w:jc w:val="both"/>
        <w:rPr>
          <w:sz w:val="16"/>
        </w:rPr>
      </w:pPr>
      <w:r w:rsidRPr="00432F43">
        <w:rPr>
          <w:rStyle w:val="Odwoanieprzypisudolnego"/>
          <w:sz w:val="16"/>
          <w:szCs w:val="16"/>
        </w:rPr>
        <w:footnoteRef/>
      </w:r>
      <w:r w:rsidRPr="00432F43">
        <w:rPr>
          <w:sz w:val="16"/>
          <w:szCs w:val="16"/>
        </w:rPr>
        <w:t xml:space="preserve"> </w:t>
      </w:r>
      <w:r>
        <w:rPr>
          <w:sz w:val="16"/>
        </w:rPr>
        <w:t xml:space="preserve">Na przykład gdy osoby, których dane dotyczą, stają w obliczu zautomatyzowanego podejmowania decyzji bez odpowiednich mechanizmów dochodzenia roszczeń lub gdy nie można dobrowolnie wyrazić zgody. Koncepcję „nierównowagi </w:t>
      </w:r>
      <w:r w:rsidR="00A337F2">
        <w:rPr>
          <w:sz w:val="16"/>
        </w:rPr>
        <w:t>sił</w:t>
      </w:r>
      <w:r>
        <w:rPr>
          <w:sz w:val="16"/>
        </w:rPr>
        <w:t>” omówiono w opinii EROD 08/2024 w sprawie ważnej zgody w kontekście modeli zgod</w:t>
      </w:r>
      <w:r w:rsidR="00A337F2">
        <w:rPr>
          <w:sz w:val="16"/>
        </w:rPr>
        <w:t>a</w:t>
      </w:r>
      <w:r>
        <w:rPr>
          <w:sz w:val="16"/>
        </w:rPr>
        <w:t xml:space="preserve"> lub </w:t>
      </w:r>
      <w:r w:rsidR="00A337F2">
        <w:rPr>
          <w:sz w:val="16"/>
        </w:rPr>
        <w:t>zapłata</w:t>
      </w:r>
      <w:r>
        <w:rPr>
          <w:sz w:val="16"/>
        </w:rPr>
        <w:t xml:space="preserve"> wdrażanych przez duże platformy internetowe (sekcja 4.2.1.3), </w:t>
      </w:r>
      <w:hyperlink r:id="rId10" w:history="1">
        <w:r>
          <w:rPr>
            <w:rStyle w:val="Hipercze"/>
            <w:sz w:val="16"/>
          </w:rPr>
          <w:t>https://www.edpb.europa.eu/system/files/2024-04/edpb_opinion_202408_consentorpay_en.pdf</w:t>
        </w:r>
      </w:hyperlink>
      <w:r>
        <w:rPr>
          <w:sz w:val="16"/>
        </w:rPr>
        <w:t xml:space="preserve"> </w:t>
      </w:r>
    </w:p>
  </w:footnote>
  <w:footnote w:id="17">
    <w:p w14:paraId="1BECE06C" w14:textId="3145ACEB" w:rsidR="00F72433" w:rsidRDefault="008C123E">
      <w:pPr>
        <w:pStyle w:val="Tekstprzypisudolnego"/>
        <w:jc w:val="both"/>
      </w:pPr>
      <w:r>
        <w:rPr>
          <w:rStyle w:val="Odwoanieprzypisudolnego"/>
          <w:sz w:val="16"/>
        </w:rPr>
        <w:footnoteRef/>
      </w:r>
      <w:r>
        <w:rPr>
          <w:sz w:val="16"/>
        </w:rPr>
        <w:t xml:space="preserve"> Z </w:t>
      </w:r>
      <w:r w:rsidR="006C5B0B">
        <w:rPr>
          <w:sz w:val="16"/>
        </w:rPr>
        <w:t>w</w:t>
      </w:r>
      <w:r w:rsidR="006C5B0B" w:rsidRPr="006C5B0B">
        <w:rPr>
          <w:sz w:val="16"/>
        </w:rPr>
        <w:t>ytyczn</w:t>
      </w:r>
      <w:r w:rsidR="006C5B0B">
        <w:rPr>
          <w:sz w:val="16"/>
        </w:rPr>
        <w:t>ych EROD</w:t>
      </w:r>
      <w:r w:rsidR="006C5B0B" w:rsidRPr="006C5B0B">
        <w:rPr>
          <w:sz w:val="16"/>
        </w:rPr>
        <w:t xml:space="preserve"> 03/2022 w sprawie zwodniczych wzorców projektowych w interfejsach platform mediów społecznościowych: jak je rozpoznać i ich unikać</w:t>
      </w:r>
      <w:r w:rsidR="006C5B0B" w:rsidRPr="006C5B0B" w:rsidDel="006C5B0B">
        <w:rPr>
          <w:sz w:val="16"/>
        </w:rPr>
        <w:t xml:space="preserve"> </w:t>
      </w:r>
      <w:r>
        <w:rPr>
          <w:sz w:val="16"/>
        </w:rPr>
        <w:t xml:space="preserve">(sekcja 2.3), wersja 2.0, </w:t>
      </w:r>
      <w:hyperlink r:id="rId11" w:history="1">
        <w:r>
          <w:rPr>
            <w:rStyle w:val="Hipercze"/>
            <w:sz w:val="16"/>
          </w:rPr>
          <w:t>https://www.edpb.europa.eu/system/files/2023-02/edpb_03-2022_guidelines_on_deceptive_design_patterns_in_social_media_platform_interfaces_v2_en_0.pdf</w:t>
        </w:r>
      </w:hyperlink>
      <w:r>
        <w:rPr>
          <w:sz w:val="16"/>
        </w:rPr>
        <w:t xml:space="preserve"> </w:t>
      </w:r>
    </w:p>
  </w:footnote>
  <w:footnote w:id="18">
    <w:p w14:paraId="77116A12" w14:textId="4B88680A" w:rsidR="00F72433" w:rsidRDefault="008C123E">
      <w:pPr>
        <w:pStyle w:val="Tekstprzypisudolnego"/>
        <w:jc w:val="both"/>
      </w:pPr>
      <w:r>
        <w:rPr>
          <w:rStyle w:val="Odwoanieprzypisudolnego"/>
          <w:sz w:val="16"/>
        </w:rPr>
        <w:footnoteRef/>
      </w:r>
      <w:r>
        <w:rPr>
          <w:sz w:val="16"/>
        </w:rPr>
        <w:t xml:space="preserve"> Z wytycznych EROD nr 4/2019 w sprawie ochrony danych w fazie projektowania i domyślnej ochrony danych na podstawie art. </w:t>
      </w:r>
      <w:hyperlink r:id="rId12" w:history="1">
        <w:r>
          <w:rPr>
            <w:rStyle w:val="Hipercze"/>
            <w:sz w:val="16"/>
          </w:rPr>
          <w:t>25, wersja 2.0,https://www.edpb.europa.eu/sites/default/files/files/file1/edpb_guidelines_201904_dataprotection_by_design_and_by_default_v2.0_en.pdf</w:t>
        </w:r>
      </w:hyperlink>
    </w:p>
  </w:footnote>
  <w:footnote w:id="19">
    <w:p w14:paraId="38EDB536" w14:textId="12CA5E38" w:rsidR="00F72433" w:rsidRDefault="008C123E">
      <w:pPr>
        <w:pStyle w:val="Tekstprzypisudolnego"/>
        <w:jc w:val="both"/>
        <w:rPr>
          <w:sz w:val="16"/>
        </w:rPr>
      </w:pPr>
      <w:r>
        <w:rPr>
          <w:rStyle w:val="Odwoanieprzypisudolnego"/>
          <w:sz w:val="16"/>
        </w:rPr>
        <w:footnoteRef/>
      </w:r>
      <w:r>
        <w:rPr>
          <w:sz w:val="16"/>
        </w:rPr>
        <w:t xml:space="preserve"> Z wytycznych EIOD w sprawie oceny proporcjonalności środków ograniczających podstawowe prawa do prywatności i ochrony danych osobowych, </w:t>
      </w:r>
      <w:hyperlink r:id="rId13" w:history="1">
        <w:r>
          <w:rPr>
            <w:rStyle w:val="Hipercze"/>
            <w:sz w:val="16"/>
          </w:rPr>
          <w:t>https://www.edps.europa.eu/sites/default/files/publication/19-02-25_proportionality_guidelines_en.pdf</w:t>
        </w:r>
      </w:hyperlink>
    </w:p>
  </w:footnote>
  <w:footnote w:id="20">
    <w:p w14:paraId="7E375BE2" w14:textId="7B514719" w:rsidR="00A44165" w:rsidRPr="00A44165" w:rsidRDefault="00A44165">
      <w:pPr>
        <w:pStyle w:val="Tekstprzypisudolnego"/>
      </w:pPr>
      <w:r>
        <w:rPr>
          <w:rStyle w:val="Odwoanieprzypisudolnego"/>
        </w:rPr>
        <w:footnoteRef/>
      </w:r>
      <w:r>
        <w:t xml:space="preserve"> </w:t>
      </w:r>
      <w:r>
        <w:rPr>
          <w:sz w:val="16"/>
        </w:rPr>
        <w:t xml:space="preserve">Z zestawu narzędzi EIOD do oceny konieczności środków ograniczających podstawowe prawo do ochrony danych osobowych, </w:t>
      </w:r>
      <w:hyperlink r:id="rId14" w:history="1">
        <w:r>
          <w:rPr>
            <w:rStyle w:val="Hipercze"/>
            <w:sz w:val="16"/>
          </w:rPr>
          <w:t>https://www.edps.europa.eu/sites/default/files/publication/17-06-01_necessity_toolkit_final_en.pdf</w:t>
        </w:r>
      </w:hyperlink>
    </w:p>
  </w:footnote>
  <w:footnote w:id="21">
    <w:p w14:paraId="06F084CD" w14:textId="305CD271" w:rsidR="00F72433" w:rsidRDefault="008C123E">
      <w:pPr>
        <w:pStyle w:val="Tekstprzypisudolnego"/>
        <w:jc w:val="both"/>
        <w:rPr>
          <w:sz w:val="16"/>
        </w:rPr>
      </w:pPr>
      <w:r>
        <w:rPr>
          <w:rStyle w:val="Odwoanieprzypisudolnego"/>
          <w:sz w:val="16"/>
        </w:rPr>
        <w:footnoteRef/>
      </w:r>
      <w:r>
        <w:rPr>
          <w:sz w:val="16"/>
        </w:rPr>
        <w:t xml:space="preserve"> Dostawca zewnętrzny przeprowadza kontrolę wieku i dostarcza użytkownikowi „</w:t>
      </w:r>
      <w:proofErr w:type="spellStart"/>
      <w:r>
        <w:rPr>
          <w:sz w:val="16"/>
        </w:rPr>
        <w:t>token</w:t>
      </w:r>
      <w:proofErr w:type="spellEnd"/>
      <w:r>
        <w:rPr>
          <w:sz w:val="16"/>
        </w:rPr>
        <w:t xml:space="preserve"> wieku”, który użytkownik może przedstawić dostawcy usług bez konieczności ponownego udowadniania swojego wieku. </w:t>
      </w:r>
      <w:proofErr w:type="spellStart"/>
      <w:r>
        <w:rPr>
          <w:sz w:val="16"/>
        </w:rPr>
        <w:t>Token</w:t>
      </w:r>
      <w:proofErr w:type="spellEnd"/>
      <w:r>
        <w:rPr>
          <w:sz w:val="16"/>
        </w:rPr>
        <w:t xml:space="preserve"> wieku może zawierać różne atrybuty użytkownika oraz informacje o tym, kiedy, gdzie i w jaki sposób przeprowadzono kontrolę wieku.</w:t>
      </w:r>
    </w:p>
  </w:footnote>
  <w:footnote w:id="22">
    <w:p w14:paraId="47A1F9E1" w14:textId="6CD13060" w:rsidR="00F72433" w:rsidRDefault="008C123E">
      <w:pPr>
        <w:pStyle w:val="Tekstprzypisudolnego"/>
      </w:pPr>
      <w:r w:rsidRPr="00432F43">
        <w:rPr>
          <w:rStyle w:val="Odwoanieprzypisudolnego"/>
          <w:sz w:val="16"/>
          <w:szCs w:val="16"/>
        </w:rPr>
        <w:footnoteRef/>
      </w:r>
      <w:r>
        <w:t xml:space="preserve"> </w:t>
      </w:r>
      <w:r>
        <w:rPr>
          <w:sz w:val="16"/>
        </w:rPr>
        <w:t xml:space="preserve">Zestaw narzędzi EIOD do oceny konieczności środków ograniczających podstawowe prawo do ochrony danych osobowych, </w:t>
      </w:r>
      <w:hyperlink r:id="rId15" w:history="1">
        <w:r>
          <w:rPr>
            <w:rStyle w:val="Hipercze"/>
            <w:sz w:val="16"/>
          </w:rPr>
          <w:t>https://www.edps.europa.eu/sites/default/files/publication/17-06-01_necessity_toolkit_final_en.pdf</w:t>
        </w:r>
      </w:hyperlink>
    </w:p>
  </w:footnote>
  <w:footnote w:id="23">
    <w:p w14:paraId="28A12CE3" w14:textId="77777777" w:rsidR="00F72433" w:rsidRDefault="008C123E">
      <w:pPr>
        <w:pStyle w:val="Tekstprzypisudolnego"/>
        <w:jc w:val="both"/>
      </w:pPr>
      <w:r w:rsidRPr="00432F43">
        <w:rPr>
          <w:rStyle w:val="Odwoanieprzypisudolnego"/>
          <w:sz w:val="16"/>
          <w:szCs w:val="16"/>
        </w:rPr>
        <w:footnoteRef/>
      </w:r>
      <w:r>
        <w:t xml:space="preserve"> </w:t>
      </w:r>
      <w:r>
        <w:rPr>
          <w:sz w:val="16"/>
        </w:rPr>
        <w:t xml:space="preserve">Wytyczne w sprawie oceny proporcjonalności środków ograniczających podstawowe prawa do prywatności i ochrony danych osobowych, </w:t>
      </w:r>
      <w:hyperlink r:id="rId16" w:history="1">
        <w:r>
          <w:rPr>
            <w:rStyle w:val="Hipercze"/>
            <w:sz w:val="16"/>
          </w:rPr>
          <w:t>https://www.edps.europa.eu/sites/default/files/publication/19-02-25_proportionality_guidelines_en.pdf</w:t>
        </w:r>
      </w:hyperlink>
    </w:p>
  </w:footnote>
  <w:footnote w:id="24">
    <w:p w14:paraId="6676FB8C" w14:textId="0DD9BD60" w:rsidR="00F72433" w:rsidRDefault="008C123E">
      <w:pPr>
        <w:pStyle w:val="Tekstprzypisudolnego"/>
        <w:jc w:val="both"/>
        <w:rPr>
          <w:sz w:val="16"/>
        </w:rPr>
      </w:pPr>
      <w:r>
        <w:rPr>
          <w:rStyle w:val="Odwoanieprzypisudolnego"/>
          <w:sz w:val="16"/>
        </w:rPr>
        <w:footnoteRef/>
      </w:r>
      <w:r>
        <w:rPr>
          <w:sz w:val="16"/>
        </w:rPr>
        <w:t xml:space="preserve"> Na przykład</w:t>
      </w:r>
      <w:r w:rsidR="009C1A42">
        <w:rPr>
          <w:sz w:val="16"/>
        </w:rPr>
        <w:t xml:space="preserve"> </w:t>
      </w:r>
      <w:r>
        <w:rPr>
          <w:rFonts w:ascii="Calibri" w:eastAsia="Calibri" w:hAnsi="Calibri" w:cs="Calibri"/>
          <w:sz w:val="16"/>
        </w:rPr>
        <w:t>dostępność stron internetowych i aplikacji mobilnych sektora publicznego oraz dostępność produktów i usług są przewidziane odpowiednio w dyrektywie w sprawie dostępności stron internetowych (WAD) i europejskim akcie w sprawie dostępności (EAA). Rozwiązania zapewniające wiek muszą być zgodne z tymi przepisami, spełniając wymogi zharmonizowanej normy europejskiej dotyczącej wymogów dostępności produktów i usług ICT, EN 301 549 v3.2.1.</w:t>
      </w:r>
      <w:r>
        <w:rPr>
          <w:sz w:val="16"/>
        </w:rPr>
        <w:t xml:space="preserve"> </w:t>
      </w:r>
    </w:p>
  </w:footnote>
  <w:footnote w:id="25">
    <w:p w14:paraId="15AF7006" w14:textId="3C43C9A0" w:rsidR="00F72433" w:rsidRDefault="008C123E">
      <w:pPr>
        <w:pStyle w:val="Tekstprzypisudolnego"/>
        <w:jc w:val="both"/>
        <w:rPr>
          <w:sz w:val="16"/>
        </w:rPr>
      </w:pPr>
      <w:r>
        <w:rPr>
          <w:rStyle w:val="Odwoanieprzypisudolnego"/>
          <w:sz w:val="16"/>
        </w:rPr>
        <w:footnoteRef/>
      </w:r>
      <w:r>
        <w:rPr>
          <w:sz w:val="16"/>
        </w:rPr>
        <w:t xml:space="preserve"> EROD wyraziła wcześniej poważne wątpliwości co do skuteczności oświadczenia własnego jako metody weryfikacji wieku w kontekście przetwarzania wysokiego ryzyka w wiążącej decyzji 2/2023 w sprawie sporu przedłożonego przez irlandzki organ nadzorczy dotyczącego </w:t>
      </w:r>
      <w:proofErr w:type="spellStart"/>
      <w:r>
        <w:rPr>
          <w:sz w:val="16"/>
        </w:rPr>
        <w:t>TikTok</w:t>
      </w:r>
      <w:proofErr w:type="spellEnd"/>
      <w:r>
        <w:rPr>
          <w:sz w:val="16"/>
        </w:rPr>
        <w:t xml:space="preserve"> Technology Limited (art. 65 RODO), </w:t>
      </w:r>
      <w:hyperlink r:id="rId17" w:history="1">
        <w:r>
          <w:rPr>
            <w:rStyle w:val="Hipercze"/>
            <w:sz w:val="16"/>
          </w:rPr>
          <w:t>https://www.edpb.europa.eu/system/files/2023-09/edpb_bindingdecision_202302_ie_sa_tl_children_en.pdf</w:t>
        </w:r>
      </w:hyperlink>
      <w:r>
        <w:rPr>
          <w:sz w:val="16"/>
        </w:rPr>
        <w:t xml:space="preserve"> </w:t>
      </w:r>
    </w:p>
  </w:footnote>
  <w:footnote w:id="26">
    <w:p w14:paraId="66CDC344" w14:textId="169575C1" w:rsidR="00F72433" w:rsidRDefault="008C123E">
      <w:pPr>
        <w:pStyle w:val="Tekstprzypisudolnego"/>
        <w:jc w:val="both"/>
      </w:pPr>
      <w:r>
        <w:rPr>
          <w:rStyle w:val="Odwoanieprzypisudolnego"/>
          <w:sz w:val="16"/>
        </w:rPr>
        <w:footnoteRef/>
      </w:r>
      <w:r w:rsidR="002A0EE4">
        <w:rPr>
          <w:sz w:val="16"/>
        </w:rPr>
        <w:t xml:space="preserve"> </w:t>
      </w:r>
      <w:r>
        <w:rPr>
          <w:sz w:val="16"/>
        </w:rPr>
        <w:t xml:space="preserve">Zob. wytyczne Grupy Roboczej Art. 29 dotyczące przejrzystości na mocy rozporządzenia 2016/679, </w:t>
      </w:r>
      <w:hyperlink r:id="rId18" w:history="1">
        <w:r>
          <w:rPr>
            <w:rStyle w:val="Hipercze"/>
            <w:sz w:val="16"/>
          </w:rPr>
          <w:t>https://www.edpb.europa.eu/system/files/2023-09/wp260rev01_en.pdf.</w:t>
        </w:r>
      </w:hyperlink>
      <w:r>
        <w:t xml:space="preserve"> </w:t>
      </w:r>
    </w:p>
  </w:footnote>
  <w:footnote w:id="27">
    <w:p w14:paraId="7E81DA2D" w14:textId="7FD2875B" w:rsidR="00F72433" w:rsidRDefault="008C123E">
      <w:pPr>
        <w:pStyle w:val="Tekstprzypisudolnego"/>
        <w:jc w:val="both"/>
      </w:pPr>
      <w:r w:rsidRPr="00432F43">
        <w:rPr>
          <w:rStyle w:val="Odwoanieprzypisudolnego"/>
          <w:sz w:val="16"/>
          <w:szCs w:val="16"/>
        </w:rPr>
        <w:footnoteRef/>
      </w:r>
      <w:r>
        <w:t xml:space="preserve"> </w:t>
      </w:r>
      <w:r>
        <w:rPr>
          <w:rFonts w:ascii="Calibri" w:eastAsia="Calibri" w:hAnsi="Calibri" w:cs="Calibri"/>
          <w:sz w:val="16"/>
        </w:rPr>
        <w:t>Sprawa C-634/21, SCHUFA Holding (</w:t>
      </w:r>
      <w:proofErr w:type="spellStart"/>
      <w:r>
        <w:rPr>
          <w:rFonts w:ascii="Calibri" w:eastAsia="Calibri" w:hAnsi="Calibri" w:cs="Calibri"/>
          <w:sz w:val="16"/>
        </w:rPr>
        <w:t>Scoring</w:t>
      </w:r>
      <w:proofErr w:type="spellEnd"/>
      <w:r>
        <w:rPr>
          <w:rFonts w:ascii="Calibri" w:eastAsia="Calibri" w:hAnsi="Calibri" w:cs="Calibri"/>
          <w:sz w:val="16"/>
        </w:rPr>
        <w:t xml:space="preserve">): Wyrok Trybunału (pierwsza izba) z dnia 7 grudnia 2023 r. (wniosek o wydanie orzeczenia w trybie prejudycjalnym złożony przez </w:t>
      </w:r>
      <w:proofErr w:type="spellStart"/>
      <w:r>
        <w:rPr>
          <w:rFonts w:ascii="Calibri" w:eastAsia="Calibri" w:hAnsi="Calibri" w:cs="Calibri"/>
          <w:sz w:val="16"/>
        </w:rPr>
        <w:t>Verwaltungsgericht</w:t>
      </w:r>
      <w:proofErr w:type="spellEnd"/>
      <w:r>
        <w:rPr>
          <w:rFonts w:ascii="Calibri" w:eastAsia="Calibri" w:hAnsi="Calibri" w:cs="Calibri"/>
          <w:sz w:val="16"/>
        </w:rPr>
        <w:t xml:space="preserve"> Wiesbaden – Niemcy) – OQ/Land </w:t>
      </w:r>
      <w:proofErr w:type="spellStart"/>
      <w:r>
        <w:rPr>
          <w:rFonts w:ascii="Calibri" w:eastAsia="Calibri" w:hAnsi="Calibri" w:cs="Calibri"/>
          <w:sz w:val="16"/>
        </w:rPr>
        <w:t>Hessen</w:t>
      </w:r>
      <w:proofErr w:type="spellEnd"/>
      <w:r>
        <w:rPr>
          <w:rFonts w:ascii="Calibri" w:eastAsia="Calibri" w:hAnsi="Calibri" w:cs="Calibri"/>
          <w:sz w:val="16"/>
        </w:rPr>
        <w:t xml:space="preserve"> (Odesłanie prejudycjalne – Ochrona osób fizycznych w związku z przetwarzaniem danych osobowych – Rozporządzenie (UE) 2016/679 – Artykuł 22 – Zautomatyzowane podejmowanie decyzji indywidualnych – Agencje informacji kredytowej – Zautomatyzowane ustalanie wartości prawdopodobieństwa dotyczącej zdolności danej osoby do wywiązania się ze zobowiązań płatniczych w przyszłości („</w:t>
      </w:r>
      <w:proofErr w:type="spellStart"/>
      <w:r>
        <w:rPr>
          <w:rFonts w:ascii="Calibri" w:eastAsia="Calibri" w:hAnsi="Calibri" w:cs="Calibri"/>
          <w:sz w:val="16"/>
        </w:rPr>
        <w:t>scoring</w:t>
      </w:r>
      <w:proofErr w:type="spellEnd"/>
      <w:r>
        <w:rPr>
          <w:rFonts w:ascii="Calibri" w:eastAsia="Calibri" w:hAnsi="Calibri" w:cs="Calibri"/>
          <w:sz w:val="16"/>
        </w:rPr>
        <w:t xml:space="preserve">”) – Wykorzystanie tej wartości prawdopodobieństwa przez osoby trzecie), </w:t>
      </w:r>
      <w:hyperlink r:id="rId19" w:history="1">
        <w:r>
          <w:rPr>
            <w:rStyle w:val="Hipercze"/>
            <w:rFonts w:ascii="Calibri" w:eastAsia="Calibri" w:hAnsi="Calibri" w:cs="Calibri"/>
            <w:sz w:val="16"/>
          </w:rPr>
          <w:t>https://eur-lex.europa.eu/legal-content/EN/ALL/?uri=CELEX%3A62021CA0634</w:t>
        </w:r>
      </w:hyperlink>
    </w:p>
  </w:footnote>
  <w:footnote w:id="28">
    <w:p w14:paraId="0E9571C8" w14:textId="313E4288" w:rsidR="00F72433" w:rsidRDefault="008C123E">
      <w:pPr>
        <w:pStyle w:val="Tekstprzypisudolnego"/>
        <w:jc w:val="both"/>
        <w:rPr>
          <w:sz w:val="16"/>
        </w:rPr>
      </w:pPr>
      <w:r w:rsidRPr="00432F43">
        <w:rPr>
          <w:rStyle w:val="Odwoanieprzypisudolnego"/>
          <w:sz w:val="16"/>
          <w:szCs w:val="16"/>
        </w:rPr>
        <w:footnoteRef/>
      </w:r>
      <w:r>
        <w:t xml:space="preserve"> </w:t>
      </w:r>
      <w:r>
        <w:rPr>
          <w:sz w:val="16"/>
        </w:rPr>
        <w:t xml:space="preserve">Wytyczne w sprawie zautomatyzowanego podejmowania decyzji w indywidualnych przypadkach i profilowania do celów rozporządzenia 2016/679, </w:t>
      </w:r>
      <w:hyperlink r:id="rId20" w:history="1">
        <w:r>
          <w:rPr>
            <w:rStyle w:val="Hipercze"/>
            <w:sz w:val="16"/>
          </w:rPr>
          <w:t>https://ec.europa.eu/newsroom/article29/items/612053/pl</w:t>
        </w:r>
      </w:hyperlink>
      <w:r>
        <w:rPr>
          <w:sz w:val="16"/>
        </w:rPr>
        <w:t xml:space="preserve"> </w:t>
      </w:r>
    </w:p>
  </w:footnote>
  <w:footnote w:id="29">
    <w:p w14:paraId="77D3443B" w14:textId="762C9A9E" w:rsidR="00F72433" w:rsidRDefault="008C123E">
      <w:pPr>
        <w:pStyle w:val="Tekstprzypisudolnego"/>
        <w:jc w:val="both"/>
        <w:rPr>
          <w:sz w:val="16"/>
        </w:rPr>
      </w:pPr>
      <w:r>
        <w:rPr>
          <w:rStyle w:val="Odwoanieprzypisudolnego"/>
          <w:sz w:val="16"/>
        </w:rPr>
        <w:footnoteRef/>
      </w:r>
      <w:r>
        <w:rPr>
          <w:sz w:val="16"/>
        </w:rPr>
        <w:t xml:space="preserve"> Jak stwierdzono w wytycznych EROD (wyżej wymienionych): „prawa</w:t>
      </w:r>
      <w:r w:rsidR="00771AD8">
        <w:rPr>
          <w:sz w:val="16"/>
        </w:rPr>
        <w:t xml:space="preserve"> </w:t>
      </w:r>
      <w:r>
        <w:rPr>
          <w:i/>
          <w:sz w:val="16"/>
        </w:rPr>
        <w:t>te przysługują administratorowi tworzącemu profil oraz administratorowi podejmującemu zautomatyzowaną decyzję dotyczącą osoby, której dane dotyczą (z udziałem człowieka lub bez niego), jeżeli podmioty te nie są tożsame</w:t>
      </w:r>
      <w:r>
        <w:rPr>
          <w:sz w:val="16"/>
        </w:rPr>
        <w:t>”.</w:t>
      </w:r>
    </w:p>
  </w:footnote>
  <w:footnote w:id="30">
    <w:p w14:paraId="12E84610" w14:textId="28348800" w:rsidR="00F72433" w:rsidRDefault="008C123E">
      <w:pPr>
        <w:pStyle w:val="Tekstprzypisudolnego"/>
        <w:jc w:val="both"/>
      </w:pPr>
      <w:r>
        <w:rPr>
          <w:rStyle w:val="Odwoanieprzypisudolnego"/>
          <w:sz w:val="16"/>
        </w:rPr>
        <w:footnoteRef/>
      </w:r>
      <w:r>
        <w:rPr>
          <w:sz w:val="16"/>
        </w:rPr>
        <w:t xml:space="preserve"> Z Wytycznych w sprawie zautomatyzowanego podejmowania decyzji w indywidualnych przypadkach i profilowania do celów rozporządzenia 2016/679: „Niemniej</w:t>
      </w:r>
      <w:r w:rsidR="00771AD8">
        <w:rPr>
          <w:sz w:val="16"/>
        </w:rPr>
        <w:t xml:space="preserve"> </w:t>
      </w:r>
      <w:r>
        <w:rPr>
          <w:i/>
          <w:sz w:val="16"/>
        </w:rPr>
        <w:t>jednak mogą zaistnieć okoliczności, w których konieczne jest, aby administratorzy danych podejmowali wyłącznie zautomatyzowane decyzje, w tym profilowali, mające skutki prawne lub podobnie istotne skutki w odniesieniu do dzieci, na przykład w celu ochrony ich dobra”.</w:t>
      </w:r>
    </w:p>
  </w:footnote>
  <w:footnote w:id="31">
    <w:p w14:paraId="65241B85" w14:textId="59078498" w:rsidR="00F72433" w:rsidRDefault="008C123E">
      <w:pPr>
        <w:pStyle w:val="Tekstprzypisudolnego"/>
      </w:pPr>
      <w:r w:rsidRPr="00330BF0">
        <w:rPr>
          <w:rStyle w:val="Odwoanieprzypisudolnego"/>
          <w:sz w:val="16"/>
          <w:szCs w:val="16"/>
        </w:rPr>
        <w:footnoteRef/>
      </w:r>
      <w:r w:rsidRPr="00330BF0">
        <w:rPr>
          <w:sz w:val="16"/>
          <w:szCs w:val="16"/>
        </w:rPr>
        <w:t xml:space="preserve"> </w:t>
      </w:r>
      <w:r w:rsidR="00330BF0" w:rsidRPr="00330BF0">
        <w:rPr>
          <w:sz w:val="16"/>
          <w:szCs w:val="16"/>
        </w:rPr>
        <w:t>Wytyczne nr 4/2019 dotyczące artykułu 25 Uwzględnianie ochrony danych w fazie projektowania oraz domyślna ochrona danych</w:t>
      </w:r>
      <w:r w:rsidR="00330BF0" w:rsidRPr="00330BF0" w:rsidDel="00330BF0">
        <w:rPr>
          <w:sz w:val="16"/>
          <w:szCs w:val="16"/>
        </w:rPr>
        <w:t xml:space="preserve"> </w:t>
      </w:r>
      <w:r w:rsidRPr="00330BF0">
        <w:rPr>
          <w:sz w:val="16"/>
          <w:szCs w:val="16"/>
        </w:rPr>
        <w:t>wersja 2.0,</w:t>
      </w:r>
      <w:r>
        <w:rPr>
          <w:sz w:val="16"/>
        </w:rPr>
        <w:t xml:space="preserve"> </w:t>
      </w:r>
      <w:hyperlink r:id="rId21" w:history="1">
        <w:r w:rsidR="00330BF0" w:rsidRPr="001714B6">
          <w:rPr>
            <w:rStyle w:val="Hipercze"/>
            <w:sz w:val="16"/>
          </w:rPr>
          <w:t>https://www.edpb.europa.eu/sites/default/files/files/file1/edpb_guidelines_201904_dataprotection_by_design_and_by_default_v2.0_en.pdf</w:t>
        </w:r>
      </w:hyperlink>
    </w:p>
  </w:footnote>
  <w:footnote w:id="32">
    <w:p w14:paraId="59EEFDF7" w14:textId="10769F8D" w:rsidR="00F72433" w:rsidRDefault="008C123E">
      <w:pPr>
        <w:pStyle w:val="Tekstprzypisudolnego"/>
        <w:jc w:val="both"/>
        <w:rPr>
          <w:sz w:val="16"/>
        </w:rPr>
      </w:pPr>
      <w:r>
        <w:rPr>
          <w:rStyle w:val="Odwoanieprzypisudolnego"/>
          <w:sz w:val="16"/>
        </w:rPr>
        <w:footnoteRef/>
      </w:r>
      <w:r>
        <w:rPr>
          <w:sz w:val="16"/>
        </w:rPr>
        <w:t xml:space="preserve"> Właściwość </w:t>
      </w:r>
      <w:r w:rsidR="00747FB6">
        <w:rPr>
          <w:sz w:val="16"/>
        </w:rPr>
        <w:t xml:space="preserve">w postaci braku powiązania </w:t>
      </w:r>
      <w:r>
        <w:rPr>
          <w:sz w:val="16"/>
        </w:rPr>
        <w:t>oznacza, że niemożliwe jest powiązanie lub skorelowanie różnych elementów danych, działań lub transakcji z konkretną osobą, której dane dotyczą.</w:t>
      </w:r>
    </w:p>
  </w:footnote>
  <w:footnote w:id="33">
    <w:p w14:paraId="170C580F" w14:textId="31D3A004" w:rsidR="00F72433" w:rsidRDefault="008C123E">
      <w:pPr>
        <w:pStyle w:val="Tekstprzypisudolnego"/>
        <w:jc w:val="both"/>
      </w:pPr>
      <w:r>
        <w:rPr>
          <w:rStyle w:val="Odwoanieprzypisudolnego"/>
          <w:sz w:val="16"/>
        </w:rPr>
        <w:footnoteRef/>
      </w:r>
      <w:r>
        <w:rPr>
          <w:sz w:val="16"/>
        </w:rPr>
        <w:t xml:space="preserve"> Selektywne ujawnianie jest cechą </w:t>
      </w:r>
      <w:proofErr w:type="spellStart"/>
      <w:r>
        <w:rPr>
          <w:sz w:val="16"/>
        </w:rPr>
        <w:t>tokenów</w:t>
      </w:r>
      <w:proofErr w:type="spellEnd"/>
      <w:r>
        <w:rPr>
          <w:sz w:val="16"/>
        </w:rPr>
        <w:t xml:space="preserve">, </w:t>
      </w:r>
      <w:r w:rsidR="00747FB6">
        <w:rPr>
          <w:sz w:val="16"/>
        </w:rPr>
        <w:t xml:space="preserve">danych uwierzytelniających </w:t>
      </w:r>
      <w:r>
        <w:rPr>
          <w:sz w:val="16"/>
        </w:rPr>
        <w:t>i poświadczeń, która umożliwia osobom, których dane dotyczą, udostępnianie tylko informacji, których chcą, konkretnym stronom w poszczególnych przypadkach.</w:t>
      </w:r>
    </w:p>
  </w:footnote>
  <w:footnote w:id="34">
    <w:p w14:paraId="6048066D" w14:textId="46C2599D" w:rsidR="00F72433" w:rsidRDefault="008C123E">
      <w:pPr>
        <w:pStyle w:val="Tekstprzypisudolnego"/>
        <w:jc w:val="both"/>
        <w:rPr>
          <w:sz w:val="16"/>
        </w:rPr>
      </w:pPr>
      <w:r>
        <w:rPr>
          <w:rStyle w:val="Odwoanieprzypisudolnego"/>
          <w:sz w:val="16"/>
        </w:rPr>
        <w:footnoteRef/>
      </w:r>
      <w:r w:rsidR="00A07420" w:rsidRPr="00A07420">
        <w:rPr>
          <w:sz w:val="16"/>
        </w:rPr>
        <w:t xml:space="preserve"> </w:t>
      </w:r>
      <w:r w:rsidR="00A07420">
        <w:rPr>
          <w:sz w:val="16"/>
        </w:rPr>
        <w:t>Wydawanie serii polega na udzieleniu odpowiedzi na jedno żądanie danych uwierzytelniających od osoby, której dane dotyczą, za pomocą zestawu lub grupy danych uwierzytelniających wygenerowanych w tym samym czasie.</w:t>
      </w:r>
    </w:p>
  </w:footnote>
  <w:footnote w:id="35">
    <w:p w14:paraId="0132F966" w14:textId="6E3495C9" w:rsidR="00F72433" w:rsidRDefault="008C123E">
      <w:pPr>
        <w:pStyle w:val="Tekstprzypisudolnego"/>
        <w:rPr>
          <w:sz w:val="16"/>
        </w:rPr>
      </w:pPr>
      <w:r>
        <w:rPr>
          <w:rStyle w:val="Odwoanieprzypisudolnego"/>
          <w:sz w:val="16"/>
        </w:rPr>
        <w:footnoteRef/>
      </w:r>
      <w:r>
        <w:rPr>
          <w:sz w:val="16"/>
        </w:rPr>
        <w:t xml:space="preserve"> </w:t>
      </w:r>
      <w:r w:rsidR="00A07420">
        <w:rPr>
          <w:sz w:val="16"/>
        </w:rPr>
        <w:t>Dowód z wiedzą zerową to protokół, w którym jedna strona (udowadniający) może wykazać drugiej stronie (weryfikatorowi), że pewne dane oświadczenie jest prawdziwe, bez przekazywania weryfikatorowi jakichkolwiek informacji poza samym faktem prawdy tego oświadczenia.</w:t>
      </w:r>
    </w:p>
  </w:footnote>
  <w:footnote w:id="36">
    <w:p w14:paraId="5930F02C" w14:textId="77777777" w:rsidR="00F72433" w:rsidRDefault="008C123E">
      <w:pPr>
        <w:pStyle w:val="Tekstprzypisudolnego"/>
        <w:jc w:val="both"/>
      </w:pPr>
      <w:r w:rsidRPr="00432F43">
        <w:rPr>
          <w:rStyle w:val="Odwoanieprzypisudolnego"/>
          <w:sz w:val="16"/>
          <w:szCs w:val="16"/>
        </w:rPr>
        <w:footnoteRef/>
      </w:r>
      <w:r>
        <w:t xml:space="preserve"> </w:t>
      </w:r>
      <w:r>
        <w:rPr>
          <w:sz w:val="16"/>
        </w:rPr>
        <w:t xml:space="preserve">Z wytycznych EROD 9/2022 w sprawie zgłaszania naruszeń ochrony danych osobowych na podstawie RODO, </w:t>
      </w:r>
      <w:hyperlink r:id="rId22" w:history="1">
        <w:r>
          <w:rPr>
            <w:rStyle w:val="Hipercze"/>
            <w:sz w:val="16"/>
          </w:rPr>
          <w:t>https://www.edpb.europa.eu/system/files/2023-04/edpb_guidelines_202209_personal_data_breach_notification_v2.0_en.pdf</w:t>
        </w:r>
      </w:hyperlink>
      <w:r>
        <w:t xml:space="preserve"> </w:t>
      </w:r>
    </w:p>
  </w:footnote>
  <w:footnote w:id="37">
    <w:p w14:paraId="400D3913" w14:textId="03A75511" w:rsidR="00F72433" w:rsidRDefault="008C123E">
      <w:pPr>
        <w:pStyle w:val="Tekstprzypisudolnego"/>
        <w:jc w:val="both"/>
        <w:rPr>
          <w:sz w:val="16"/>
        </w:rPr>
      </w:pPr>
      <w:r>
        <w:rPr>
          <w:rStyle w:val="Odwoanieprzypisudolnego"/>
          <w:sz w:val="16"/>
        </w:rPr>
        <w:footnoteRef/>
      </w:r>
      <w:r>
        <w:rPr>
          <w:sz w:val="16"/>
        </w:rPr>
        <w:t xml:space="preserve"> Strony są od siebie zależne w jak najmniejszym stopniu, ograniczając zakres wpływu w przypadku wystąpienia zmian lub niepowodzeń.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45D1" w14:textId="1C3BFA29" w:rsidR="00F72433" w:rsidRDefault="00F7243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0054"/>
    <w:multiLevelType w:val="hybridMultilevel"/>
    <w:tmpl w:val="37CC04F8"/>
    <w:lvl w:ilvl="0" w:tplc="F52AE598">
      <w:start w:val="1"/>
      <w:numFmt w:val="decimal"/>
      <w:pStyle w:val="Numbered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50F95"/>
    <w:multiLevelType w:val="hybridMultilevel"/>
    <w:tmpl w:val="CE704B96"/>
    <w:lvl w:ilvl="0" w:tplc="1A0CA948">
      <w:start w:val="1"/>
      <w:numFmt w:val="decimal"/>
      <w:lvlText w:val="%1."/>
      <w:lvlJc w:val="left"/>
      <w:pPr>
        <w:ind w:left="360" w:hanging="360"/>
      </w:pPr>
      <w:rPr>
        <w:rFonts w:hint="default"/>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33254A65"/>
    <w:multiLevelType w:val="multilevel"/>
    <w:tmpl w:val="71C05CAE"/>
    <w:lvl w:ilvl="0">
      <w:start w:val="2"/>
      <w:numFmt w:val="decimal"/>
      <w:lvlText w:val="%1"/>
      <w:lvlJc w:val="left"/>
      <w:pPr>
        <w:ind w:left="450" w:hanging="450"/>
      </w:pPr>
      <w:rPr>
        <w:rFonts w:hint="default"/>
      </w:rPr>
    </w:lvl>
    <w:lvl w:ilvl="1">
      <w:start w:val="10"/>
      <w:numFmt w:val="decimal"/>
      <w:lvlText w:val="%1.%2"/>
      <w:lvlJc w:val="left"/>
      <w:pPr>
        <w:ind w:left="1028" w:hanging="45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4330" w:hanging="144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846" w:hanging="1800"/>
      </w:pPr>
      <w:rPr>
        <w:rFonts w:hint="default"/>
      </w:rPr>
    </w:lvl>
    <w:lvl w:ilvl="8">
      <w:start w:val="1"/>
      <w:numFmt w:val="decimal"/>
      <w:lvlText w:val="%1.%2.%3.%4.%5.%6.%7.%8.%9"/>
      <w:lvlJc w:val="left"/>
      <w:pPr>
        <w:ind w:left="6424" w:hanging="1800"/>
      </w:pPr>
      <w:rPr>
        <w:rFonts w:hint="default"/>
      </w:rPr>
    </w:lvl>
  </w:abstractNum>
  <w:abstractNum w:abstractNumId="3" w15:restartNumberingAfterBreak="0">
    <w:nsid w:val="40DC0576"/>
    <w:multiLevelType w:val="multilevel"/>
    <w:tmpl w:val="5BA67D7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26B4ACD"/>
    <w:multiLevelType w:val="multilevel"/>
    <w:tmpl w:val="70585EBC"/>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5" w15:restartNumberingAfterBreak="0">
    <w:nsid w:val="581D2522"/>
    <w:multiLevelType w:val="multilevel"/>
    <w:tmpl w:val="B680016A"/>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26620FE"/>
    <w:multiLevelType w:val="multilevel"/>
    <w:tmpl w:val="ADF8AA46"/>
    <w:lvl w:ilvl="0">
      <w:start w:val="2"/>
      <w:numFmt w:val="decimal"/>
      <w:lvlText w:val="%1"/>
      <w:lvlJc w:val="left"/>
      <w:pPr>
        <w:ind w:left="360" w:hanging="360"/>
      </w:pPr>
      <w:rPr>
        <w:rFonts w:hint="default"/>
      </w:rPr>
    </w:lvl>
    <w:lvl w:ilvl="1">
      <w:start w:val="9"/>
      <w:numFmt w:val="decimal"/>
      <w:lvlText w:val="%1.%2"/>
      <w:lvlJc w:val="left"/>
      <w:pPr>
        <w:ind w:left="938" w:hanging="36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4330" w:hanging="144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846" w:hanging="1800"/>
      </w:pPr>
      <w:rPr>
        <w:rFonts w:hint="default"/>
      </w:rPr>
    </w:lvl>
    <w:lvl w:ilvl="8">
      <w:start w:val="1"/>
      <w:numFmt w:val="decimal"/>
      <w:lvlText w:val="%1.%2.%3.%4.%5.%6.%7.%8.%9"/>
      <w:lvlJc w:val="left"/>
      <w:pPr>
        <w:ind w:left="6424" w:hanging="1800"/>
      </w:pPr>
      <w:rPr>
        <w:rFonts w:hint="default"/>
      </w:rPr>
    </w:lvl>
  </w:abstractNum>
  <w:abstractNum w:abstractNumId="7" w15:restartNumberingAfterBreak="0">
    <w:nsid w:val="6DBB7203"/>
    <w:multiLevelType w:val="hybridMultilevel"/>
    <w:tmpl w:val="9842A242"/>
    <w:lvl w:ilvl="0" w:tplc="0C0A0001">
      <w:start w:val="1"/>
      <w:numFmt w:val="bullet"/>
      <w:lvlText w:val=""/>
      <w:lvlJc w:val="left"/>
      <w:pPr>
        <w:ind w:left="1368" w:hanging="360"/>
      </w:pPr>
      <w:rPr>
        <w:rFonts w:ascii="Symbol" w:hAnsi="Symbol" w:hint="default"/>
      </w:rPr>
    </w:lvl>
    <w:lvl w:ilvl="1" w:tplc="FFFFFFFF">
      <w:start w:val="1"/>
      <w:numFmt w:val="bullet"/>
      <w:lvlText w:val="o"/>
      <w:lvlJc w:val="left"/>
      <w:pPr>
        <w:ind w:left="2088" w:hanging="360"/>
      </w:pPr>
      <w:rPr>
        <w:rFonts w:ascii="Courier New" w:hAnsi="Courier New" w:hint="default"/>
      </w:rPr>
    </w:lvl>
    <w:lvl w:ilvl="2" w:tplc="FFFFFFFF">
      <w:start w:val="1"/>
      <w:numFmt w:val="bullet"/>
      <w:lvlText w:val=""/>
      <w:lvlJc w:val="left"/>
      <w:pPr>
        <w:ind w:left="2808" w:hanging="360"/>
      </w:pPr>
      <w:rPr>
        <w:rFonts w:ascii="Wingdings" w:hAnsi="Wingdings" w:hint="default"/>
      </w:rPr>
    </w:lvl>
    <w:lvl w:ilvl="3" w:tplc="FFFFFFFF">
      <w:start w:val="1"/>
      <w:numFmt w:val="bullet"/>
      <w:lvlText w:val=""/>
      <w:lvlJc w:val="left"/>
      <w:pPr>
        <w:ind w:left="3528" w:hanging="360"/>
      </w:pPr>
      <w:rPr>
        <w:rFonts w:ascii="Symbol" w:hAnsi="Symbol" w:hint="default"/>
      </w:rPr>
    </w:lvl>
    <w:lvl w:ilvl="4" w:tplc="FFFFFFFF">
      <w:start w:val="1"/>
      <w:numFmt w:val="bullet"/>
      <w:lvlText w:val="o"/>
      <w:lvlJc w:val="left"/>
      <w:pPr>
        <w:ind w:left="4248" w:hanging="360"/>
      </w:pPr>
      <w:rPr>
        <w:rFonts w:ascii="Courier New" w:hAnsi="Courier New" w:hint="default"/>
      </w:rPr>
    </w:lvl>
    <w:lvl w:ilvl="5" w:tplc="FFFFFFFF">
      <w:start w:val="1"/>
      <w:numFmt w:val="bullet"/>
      <w:lvlText w:val=""/>
      <w:lvlJc w:val="left"/>
      <w:pPr>
        <w:ind w:left="4968" w:hanging="360"/>
      </w:pPr>
      <w:rPr>
        <w:rFonts w:ascii="Wingdings" w:hAnsi="Wingdings" w:hint="default"/>
      </w:rPr>
    </w:lvl>
    <w:lvl w:ilvl="6" w:tplc="FFFFFFFF">
      <w:start w:val="1"/>
      <w:numFmt w:val="bullet"/>
      <w:lvlText w:val=""/>
      <w:lvlJc w:val="left"/>
      <w:pPr>
        <w:ind w:left="5688" w:hanging="360"/>
      </w:pPr>
      <w:rPr>
        <w:rFonts w:ascii="Symbol" w:hAnsi="Symbol" w:hint="default"/>
      </w:rPr>
    </w:lvl>
    <w:lvl w:ilvl="7" w:tplc="FFFFFFFF">
      <w:start w:val="1"/>
      <w:numFmt w:val="bullet"/>
      <w:lvlText w:val="o"/>
      <w:lvlJc w:val="left"/>
      <w:pPr>
        <w:ind w:left="6408" w:hanging="360"/>
      </w:pPr>
      <w:rPr>
        <w:rFonts w:ascii="Courier New" w:hAnsi="Courier New" w:hint="default"/>
      </w:rPr>
    </w:lvl>
    <w:lvl w:ilvl="8" w:tplc="FFFFFFFF">
      <w:start w:val="1"/>
      <w:numFmt w:val="bullet"/>
      <w:lvlText w:val=""/>
      <w:lvlJc w:val="left"/>
      <w:pPr>
        <w:ind w:left="7128" w:hanging="360"/>
      </w:pPr>
      <w:rPr>
        <w:rFonts w:ascii="Wingdings" w:hAnsi="Wingdings" w:hint="default"/>
      </w:rPr>
    </w:lvl>
  </w:abstractNum>
  <w:abstractNum w:abstractNumId="8" w15:restartNumberingAfterBreak="0">
    <w:nsid w:val="73B70D2B"/>
    <w:multiLevelType w:val="hybridMultilevel"/>
    <w:tmpl w:val="BB8EAB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7"/>
  </w:num>
  <w:num w:numId="5">
    <w:abstractNumId w:val="5"/>
  </w:num>
  <w:num w:numId="6">
    <w:abstractNumId w:val="3"/>
  </w:num>
  <w:num w:numId="7">
    <w:abstractNumId w:val="1"/>
  </w:num>
  <w:num w:numId="8">
    <w:abstractNumId w:val="2"/>
  </w:num>
  <w:num w:numId="9">
    <w:abstractNumId w:val="6"/>
  </w:num>
  <w:num w:numId="10">
    <w:abstractNumId w:val="4"/>
    <w:lvlOverride w:ilvl="0">
      <w:startOverride w:val="2"/>
    </w:lvlOverride>
    <w:lvlOverride w:ilvl="1">
      <w:startOverride w:val="8"/>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A5D"/>
    <w:rsid w:val="00001F5C"/>
    <w:rsid w:val="00002799"/>
    <w:rsid w:val="000066AB"/>
    <w:rsid w:val="000071B1"/>
    <w:rsid w:val="000076CF"/>
    <w:rsid w:val="0001081B"/>
    <w:rsid w:val="00010E81"/>
    <w:rsid w:val="0001166A"/>
    <w:rsid w:val="00011DF5"/>
    <w:rsid w:val="00011E0F"/>
    <w:rsid w:val="00016DE9"/>
    <w:rsid w:val="00016F1C"/>
    <w:rsid w:val="00017AAC"/>
    <w:rsid w:val="00017CEF"/>
    <w:rsid w:val="00021318"/>
    <w:rsid w:val="00022DC4"/>
    <w:rsid w:val="00023785"/>
    <w:rsid w:val="00024B85"/>
    <w:rsid w:val="00025660"/>
    <w:rsid w:val="0002599E"/>
    <w:rsid w:val="000302B7"/>
    <w:rsid w:val="00030AE1"/>
    <w:rsid w:val="000315B7"/>
    <w:rsid w:val="000332DE"/>
    <w:rsid w:val="000349F3"/>
    <w:rsid w:val="00035709"/>
    <w:rsid w:val="00035EAB"/>
    <w:rsid w:val="0003709B"/>
    <w:rsid w:val="000375ED"/>
    <w:rsid w:val="0004112B"/>
    <w:rsid w:val="00041C37"/>
    <w:rsid w:val="000426D0"/>
    <w:rsid w:val="00042F26"/>
    <w:rsid w:val="0004348B"/>
    <w:rsid w:val="000447F7"/>
    <w:rsid w:val="000451C4"/>
    <w:rsid w:val="00045A8B"/>
    <w:rsid w:val="0004635E"/>
    <w:rsid w:val="0004688F"/>
    <w:rsid w:val="0004731D"/>
    <w:rsid w:val="000500BE"/>
    <w:rsid w:val="000508E2"/>
    <w:rsid w:val="0005153C"/>
    <w:rsid w:val="00051E5B"/>
    <w:rsid w:val="00052F79"/>
    <w:rsid w:val="00053AF1"/>
    <w:rsid w:val="00053E06"/>
    <w:rsid w:val="00054446"/>
    <w:rsid w:val="00054770"/>
    <w:rsid w:val="00057093"/>
    <w:rsid w:val="0005719E"/>
    <w:rsid w:val="00057CAE"/>
    <w:rsid w:val="00060D59"/>
    <w:rsid w:val="000610FD"/>
    <w:rsid w:val="0006141C"/>
    <w:rsid w:val="00062A4E"/>
    <w:rsid w:val="00062C4E"/>
    <w:rsid w:val="00063C22"/>
    <w:rsid w:val="00064FB9"/>
    <w:rsid w:val="00065DC1"/>
    <w:rsid w:val="00066286"/>
    <w:rsid w:val="000670DC"/>
    <w:rsid w:val="000705E2"/>
    <w:rsid w:val="000720B5"/>
    <w:rsid w:val="0007232B"/>
    <w:rsid w:val="00073A54"/>
    <w:rsid w:val="000740CA"/>
    <w:rsid w:val="00074345"/>
    <w:rsid w:val="00074354"/>
    <w:rsid w:val="000754FF"/>
    <w:rsid w:val="00075CBD"/>
    <w:rsid w:val="00076713"/>
    <w:rsid w:val="000774A9"/>
    <w:rsid w:val="000778A4"/>
    <w:rsid w:val="00077F2B"/>
    <w:rsid w:val="00077FD1"/>
    <w:rsid w:val="00080177"/>
    <w:rsid w:val="0008163C"/>
    <w:rsid w:val="00082695"/>
    <w:rsid w:val="00082948"/>
    <w:rsid w:val="00082A9D"/>
    <w:rsid w:val="000839CD"/>
    <w:rsid w:val="00084AC5"/>
    <w:rsid w:val="00086232"/>
    <w:rsid w:val="00090B28"/>
    <w:rsid w:val="00091F0A"/>
    <w:rsid w:val="000940BE"/>
    <w:rsid w:val="00095AD1"/>
    <w:rsid w:val="000962CA"/>
    <w:rsid w:val="00097B10"/>
    <w:rsid w:val="000A06F5"/>
    <w:rsid w:val="000A07DB"/>
    <w:rsid w:val="000A1229"/>
    <w:rsid w:val="000A22B6"/>
    <w:rsid w:val="000A3992"/>
    <w:rsid w:val="000A767A"/>
    <w:rsid w:val="000B05F7"/>
    <w:rsid w:val="000B0880"/>
    <w:rsid w:val="000B123B"/>
    <w:rsid w:val="000B1622"/>
    <w:rsid w:val="000B1825"/>
    <w:rsid w:val="000B1FB0"/>
    <w:rsid w:val="000B206E"/>
    <w:rsid w:val="000B2A06"/>
    <w:rsid w:val="000B2D75"/>
    <w:rsid w:val="000B37A6"/>
    <w:rsid w:val="000B6F60"/>
    <w:rsid w:val="000C0BC3"/>
    <w:rsid w:val="000C1095"/>
    <w:rsid w:val="000C1155"/>
    <w:rsid w:val="000C1BF8"/>
    <w:rsid w:val="000C346B"/>
    <w:rsid w:val="000C3C91"/>
    <w:rsid w:val="000C43B3"/>
    <w:rsid w:val="000C55F1"/>
    <w:rsid w:val="000C5773"/>
    <w:rsid w:val="000C5EFA"/>
    <w:rsid w:val="000C6F8A"/>
    <w:rsid w:val="000C70EA"/>
    <w:rsid w:val="000C75AA"/>
    <w:rsid w:val="000C7D3A"/>
    <w:rsid w:val="000D1362"/>
    <w:rsid w:val="000D221F"/>
    <w:rsid w:val="000D2570"/>
    <w:rsid w:val="000D2817"/>
    <w:rsid w:val="000D525A"/>
    <w:rsid w:val="000D5E92"/>
    <w:rsid w:val="000D66F2"/>
    <w:rsid w:val="000E0B2C"/>
    <w:rsid w:val="000E26C3"/>
    <w:rsid w:val="000E48D8"/>
    <w:rsid w:val="000E4AE2"/>
    <w:rsid w:val="000E5863"/>
    <w:rsid w:val="000E73F0"/>
    <w:rsid w:val="000E7E2E"/>
    <w:rsid w:val="000F1D88"/>
    <w:rsid w:val="000F3183"/>
    <w:rsid w:val="000F40FC"/>
    <w:rsid w:val="000F41C0"/>
    <w:rsid w:val="000F4652"/>
    <w:rsid w:val="000F4B08"/>
    <w:rsid w:val="000F4DB3"/>
    <w:rsid w:val="000F6287"/>
    <w:rsid w:val="000F6DF3"/>
    <w:rsid w:val="0010244E"/>
    <w:rsid w:val="001027FB"/>
    <w:rsid w:val="00102DC6"/>
    <w:rsid w:val="00103DAE"/>
    <w:rsid w:val="00104FA9"/>
    <w:rsid w:val="00106A84"/>
    <w:rsid w:val="00106B9D"/>
    <w:rsid w:val="00106E8F"/>
    <w:rsid w:val="001101F9"/>
    <w:rsid w:val="00110C92"/>
    <w:rsid w:val="001114C5"/>
    <w:rsid w:val="00111F02"/>
    <w:rsid w:val="00111F8E"/>
    <w:rsid w:val="001123A1"/>
    <w:rsid w:val="00112A7C"/>
    <w:rsid w:val="00114554"/>
    <w:rsid w:val="001148AA"/>
    <w:rsid w:val="00114A0B"/>
    <w:rsid w:val="001154AC"/>
    <w:rsid w:val="00116E0D"/>
    <w:rsid w:val="00117359"/>
    <w:rsid w:val="00117861"/>
    <w:rsid w:val="00117C92"/>
    <w:rsid w:val="00117DED"/>
    <w:rsid w:val="00120000"/>
    <w:rsid w:val="001201BB"/>
    <w:rsid w:val="001205C3"/>
    <w:rsid w:val="00120C76"/>
    <w:rsid w:val="001212D1"/>
    <w:rsid w:val="001217F0"/>
    <w:rsid w:val="00122FCB"/>
    <w:rsid w:val="00123591"/>
    <w:rsid w:val="00123C5E"/>
    <w:rsid w:val="0012475B"/>
    <w:rsid w:val="00125198"/>
    <w:rsid w:val="00125664"/>
    <w:rsid w:val="00125BE5"/>
    <w:rsid w:val="00125C55"/>
    <w:rsid w:val="00126AAB"/>
    <w:rsid w:val="001300E3"/>
    <w:rsid w:val="0013023D"/>
    <w:rsid w:val="00130D95"/>
    <w:rsid w:val="00132EAB"/>
    <w:rsid w:val="00133BB1"/>
    <w:rsid w:val="001341D8"/>
    <w:rsid w:val="00136A18"/>
    <w:rsid w:val="00137278"/>
    <w:rsid w:val="0014038B"/>
    <w:rsid w:val="001419AE"/>
    <w:rsid w:val="001421F3"/>
    <w:rsid w:val="00142274"/>
    <w:rsid w:val="00142707"/>
    <w:rsid w:val="001431F0"/>
    <w:rsid w:val="001443C9"/>
    <w:rsid w:val="00144EB1"/>
    <w:rsid w:val="00146649"/>
    <w:rsid w:val="00146F86"/>
    <w:rsid w:val="00147894"/>
    <w:rsid w:val="00150BE4"/>
    <w:rsid w:val="001513EB"/>
    <w:rsid w:val="00152790"/>
    <w:rsid w:val="001545D7"/>
    <w:rsid w:val="00155C1B"/>
    <w:rsid w:val="00155EB4"/>
    <w:rsid w:val="00156CD4"/>
    <w:rsid w:val="00157EF5"/>
    <w:rsid w:val="0016018B"/>
    <w:rsid w:val="001619BD"/>
    <w:rsid w:val="0016358E"/>
    <w:rsid w:val="0016416B"/>
    <w:rsid w:val="00166E4F"/>
    <w:rsid w:val="00167647"/>
    <w:rsid w:val="00170EB8"/>
    <w:rsid w:val="00171162"/>
    <w:rsid w:val="00171203"/>
    <w:rsid w:val="001717E2"/>
    <w:rsid w:val="001723E5"/>
    <w:rsid w:val="00173646"/>
    <w:rsid w:val="0017413D"/>
    <w:rsid w:val="001744E4"/>
    <w:rsid w:val="001760DE"/>
    <w:rsid w:val="00177BFE"/>
    <w:rsid w:val="00182BE3"/>
    <w:rsid w:val="00184C12"/>
    <w:rsid w:val="00184E36"/>
    <w:rsid w:val="0018559D"/>
    <w:rsid w:val="00185CB1"/>
    <w:rsid w:val="00187708"/>
    <w:rsid w:val="0019050C"/>
    <w:rsid w:val="001912BD"/>
    <w:rsid w:val="00191D68"/>
    <w:rsid w:val="0019220D"/>
    <w:rsid w:val="0019228F"/>
    <w:rsid w:val="001931F4"/>
    <w:rsid w:val="00194FCE"/>
    <w:rsid w:val="00195B2E"/>
    <w:rsid w:val="001960E2"/>
    <w:rsid w:val="00197C3E"/>
    <w:rsid w:val="00197CE7"/>
    <w:rsid w:val="001A0114"/>
    <w:rsid w:val="001A0A4E"/>
    <w:rsid w:val="001A1853"/>
    <w:rsid w:val="001A1ED5"/>
    <w:rsid w:val="001A352F"/>
    <w:rsid w:val="001A40A7"/>
    <w:rsid w:val="001A4AFD"/>
    <w:rsid w:val="001A4B95"/>
    <w:rsid w:val="001A5DDA"/>
    <w:rsid w:val="001A6190"/>
    <w:rsid w:val="001A61AB"/>
    <w:rsid w:val="001A6395"/>
    <w:rsid w:val="001A7585"/>
    <w:rsid w:val="001A7832"/>
    <w:rsid w:val="001B4835"/>
    <w:rsid w:val="001B5E3B"/>
    <w:rsid w:val="001B65C9"/>
    <w:rsid w:val="001B6C25"/>
    <w:rsid w:val="001C0632"/>
    <w:rsid w:val="001C2500"/>
    <w:rsid w:val="001C3C4D"/>
    <w:rsid w:val="001C3FAD"/>
    <w:rsid w:val="001C4812"/>
    <w:rsid w:val="001C4856"/>
    <w:rsid w:val="001C6B3F"/>
    <w:rsid w:val="001D12C6"/>
    <w:rsid w:val="001D260F"/>
    <w:rsid w:val="001D34BE"/>
    <w:rsid w:val="001D5A72"/>
    <w:rsid w:val="001D5E3F"/>
    <w:rsid w:val="001D65A5"/>
    <w:rsid w:val="001D7BC0"/>
    <w:rsid w:val="001E0D29"/>
    <w:rsid w:val="001E1BE7"/>
    <w:rsid w:val="001E2953"/>
    <w:rsid w:val="001E2ACC"/>
    <w:rsid w:val="001E4206"/>
    <w:rsid w:val="001E4262"/>
    <w:rsid w:val="001E4E1B"/>
    <w:rsid w:val="001E5C83"/>
    <w:rsid w:val="001E5D5F"/>
    <w:rsid w:val="001F0C05"/>
    <w:rsid w:val="001F0F80"/>
    <w:rsid w:val="001F1FF8"/>
    <w:rsid w:val="001F5121"/>
    <w:rsid w:val="001F535E"/>
    <w:rsid w:val="001F55F0"/>
    <w:rsid w:val="001F59E2"/>
    <w:rsid w:val="001F700A"/>
    <w:rsid w:val="00200E91"/>
    <w:rsid w:val="002049A1"/>
    <w:rsid w:val="00205AED"/>
    <w:rsid w:val="002141E9"/>
    <w:rsid w:val="002141EE"/>
    <w:rsid w:val="0021640B"/>
    <w:rsid w:val="00216EDD"/>
    <w:rsid w:val="00217726"/>
    <w:rsid w:val="0022098C"/>
    <w:rsid w:val="00221890"/>
    <w:rsid w:val="00221DD9"/>
    <w:rsid w:val="00223457"/>
    <w:rsid w:val="002239F2"/>
    <w:rsid w:val="00224811"/>
    <w:rsid w:val="00224A11"/>
    <w:rsid w:val="0022645D"/>
    <w:rsid w:val="002275B9"/>
    <w:rsid w:val="002277A3"/>
    <w:rsid w:val="00231B35"/>
    <w:rsid w:val="0023203D"/>
    <w:rsid w:val="00233033"/>
    <w:rsid w:val="00234FC1"/>
    <w:rsid w:val="00236647"/>
    <w:rsid w:val="0023664E"/>
    <w:rsid w:val="00240618"/>
    <w:rsid w:val="002407F8"/>
    <w:rsid w:val="002413CF"/>
    <w:rsid w:val="002417C3"/>
    <w:rsid w:val="002421C7"/>
    <w:rsid w:val="00242CE4"/>
    <w:rsid w:val="002436B1"/>
    <w:rsid w:val="0024370D"/>
    <w:rsid w:val="00243BAF"/>
    <w:rsid w:val="00243FBA"/>
    <w:rsid w:val="0025110A"/>
    <w:rsid w:val="00252B25"/>
    <w:rsid w:val="00253D94"/>
    <w:rsid w:val="00254773"/>
    <w:rsid w:val="00255AD4"/>
    <w:rsid w:val="00257806"/>
    <w:rsid w:val="00261C58"/>
    <w:rsid w:val="00262E9F"/>
    <w:rsid w:val="002635D0"/>
    <w:rsid w:val="00264D01"/>
    <w:rsid w:val="00265D08"/>
    <w:rsid w:val="00266F79"/>
    <w:rsid w:val="002676E0"/>
    <w:rsid w:val="00267C90"/>
    <w:rsid w:val="002723F4"/>
    <w:rsid w:val="0027291D"/>
    <w:rsid w:val="00273170"/>
    <w:rsid w:val="00274F2D"/>
    <w:rsid w:val="0027531C"/>
    <w:rsid w:val="0027540D"/>
    <w:rsid w:val="002777D6"/>
    <w:rsid w:val="00281CD3"/>
    <w:rsid w:val="00283816"/>
    <w:rsid w:val="00283BD3"/>
    <w:rsid w:val="00284817"/>
    <w:rsid w:val="00284C63"/>
    <w:rsid w:val="002868AB"/>
    <w:rsid w:val="0028787B"/>
    <w:rsid w:val="00287DDA"/>
    <w:rsid w:val="00290E1D"/>
    <w:rsid w:val="00291BA8"/>
    <w:rsid w:val="002922A9"/>
    <w:rsid w:val="0029232C"/>
    <w:rsid w:val="002942D4"/>
    <w:rsid w:val="00294C6A"/>
    <w:rsid w:val="00294D83"/>
    <w:rsid w:val="00294DF7"/>
    <w:rsid w:val="00295175"/>
    <w:rsid w:val="00295930"/>
    <w:rsid w:val="00296FCB"/>
    <w:rsid w:val="002A0241"/>
    <w:rsid w:val="002A0842"/>
    <w:rsid w:val="002A09FA"/>
    <w:rsid w:val="002A0EE4"/>
    <w:rsid w:val="002A1A68"/>
    <w:rsid w:val="002A25D8"/>
    <w:rsid w:val="002A341C"/>
    <w:rsid w:val="002A3532"/>
    <w:rsid w:val="002A37A2"/>
    <w:rsid w:val="002A44D4"/>
    <w:rsid w:val="002A59AE"/>
    <w:rsid w:val="002B10AA"/>
    <w:rsid w:val="002B1897"/>
    <w:rsid w:val="002B4A6E"/>
    <w:rsid w:val="002B52D3"/>
    <w:rsid w:val="002B65B0"/>
    <w:rsid w:val="002C078B"/>
    <w:rsid w:val="002C0E00"/>
    <w:rsid w:val="002C1C67"/>
    <w:rsid w:val="002C5858"/>
    <w:rsid w:val="002C5F83"/>
    <w:rsid w:val="002C6887"/>
    <w:rsid w:val="002C6EA6"/>
    <w:rsid w:val="002C77DD"/>
    <w:rsid w:val="002D038B"/>
    <w:rsid w:val="002D0B6E"/>
    <w:rsid w:val="002D2505"/>
    <w:rsid w:val="002D29DB"/>
    <w:rsid w:val="002D2E08"/>
    <w:rsid w:val="002D34D8"/>
    <w:rsid w:val="002D36AA"/>
    <w:rsid w:val="002D3C89"/>
    <w:rsid w:val="002D6791"/>
    <w:rsid w:val="002D6A19"/>
    <w:rsid w:val="002D7C5D"/>
    <w:rsid w:val="002E0179"/>
    <w:rsid w:val="002E3143"/>
    <w:rsid w:val="002E386E"/>
    <w:rsid w:val="002E41D3"/>
    <w:rsid w:val="002E6704"/>
    <w:rsid w:val="002E6A54"/>
    <w:rsid w:val="002E7625"/>
    <w:rsid w:val="002F12E5"/>
    <w:rsid w:val="002F3061"/>
    <w:rsid w:val="002F3A9E"/>
    <w:rsid w:val="002F4403"/>
    <w:rsid w:val="002F6AD8"/>
    <w:rsid w:val="002F7972"/>
    <w:rsid w:val="002F7B49"/>
    <w:rsid w:val="00300D9B"/>
    <w:rsid w:val="003023FA"/>
    <w:rsid w:val="003033E7"/>
    <w:rsid w:val="003041BF"/>
    <w:rsid w:val="00304B65"/>
    <w:rsid w:val="00305CF4"/>
    <w:rsid w:val="00306EAF"/>
    <w:rsid w:val="00307965"/>
    <w:rsid w:val="00310F3E"/>
    <w:rsid w:val="003112ED"/>
    <w:rsid w:val="00311A3A"/>
    <w:rsid w:val="00311D43"/>
    <w:rsid w:val="003122DB"/>
    <w:rsid w:val="00313973"/>
    <w:rsid w:val="00314ACC"/>
    <w:rsid w:val="00315AEA"/>
    <w:rsid w:val="00321B49"/>
    <w:rsid w:val="00324932"/>
    <w:rsid w:val="003274FF"/>
    <w:rsid w:val="00330491"/>
    <w:rsid w:val="0033062C"/>
    <w:rsid w:val="00330BF0"/>
    <w:rsid w:val="00330F87"/>
    <w:rsid w:val="003315D7"/>
    <w:rsid w:val="003330F8"/>
    <w:rsid w:val="00333921"/>
    <w:rsid w:val="00333A46"/>
    <w:rsid w:val="00334BC8"/>
    <w:rsid w:val="003364F4"/>
    <w:rsid w:val="003373B6"/>
    <w:rsid w:val="003420E2"/>
    <w:rsid w:val="00342795"/>
    <w:rsid w:val="003439ED"/>
    <w:rsid w:val="00343E67"/>
    <w:rsid w:val="00345228"/>
    <w:rsid w:val="003455A7"/>
    <w:rsid w:val="00345B91"/>
    <w:rsid w:val="00345B9A"/>
    <w:rsid w:val="00345E93"/>
    <w:rsid w:val="0035014B"/>
    <w:rsid w:val="0035101E"/>
    <w:rsid w:val="00352335"/>
    <w:rsid w:val="00353D4E"/>
    <w:rsid w:val="003544F2"/>
    <w:rsid w:val="00355612"/>
    <w:rsid w:val="0036230A"/>
    <w:rsid w:val="00362503"/>
    <w:rsid w:val="003703A4"/>
    <w:rsid w:val="003703A7"/>
    <w:rsid w:val="00370AE0"/>
    <w:rsid w:val="00371C87"/>
    <w:rsid w:val="0037207D"/>
    <w:rsid w:val="0037246A"/>
    <w:rsid w:val="00372BE7"/>
    <w:rsid w:val="003736A9"/>
    <w:rsid w:val="003744C6"/>
    <w:rsid w:val="00374D3A"/>
    <w:rsid w:val="0037546D"/>
    <w:rsid w:val="00375BA3"/>
    <w:rsid w:val="00376240"/>
    <w:rsid w:val="00377A89"/>
    <w:rsid w:val="0038068B"/>
    <w:rsid w:val="00383559"/>
    <w:rsid w:val="00383D69"/>
    <w:rsid w:val="00385B88"/>
    <w:rsid w:val="00385C47"/>
    <w:rsid w:val="00386A48"/>
    <w:rsid w:val="00386FDC"/>
    <w:rsid w:val="0038776C"/>
    <w:rsid w:val="0039056B"/>
    <w:rsid w:val="00390EB8"/>
    <w:rsid w:val="00391382"/>
    <w:rsid w:val="00391FFB"/>
    <w:rsid w:val="003922D8"/>
    <w:rsid w:val="00393087"/>
    <w:rsid w:val="00394787"/>
    <w:rsid w:val="00394AC7"/>
    <w:rsid w:val="00394B48"/>
    <w:rsid w:val="00396EC6"/>
    <w:rsid w:val="00397BA0"/>
    <w:rsid w:val="003A12BF"/>
    <w:rsid w:val="003A1535"/>
    <w:rsid w:val="003A1BFC"/>
    <w:rsid w:val="003A274E"/>
    <w:rsid w:val="003A3B85"/>
    <w:rsid w:val="003A5660"/>
    <w:rsid w:val="003A75C7"/>
    <w:rsid w:val="003B004D"/>
    <w:rsid w:val="003B1385"/>
    <w:rsid w:val="003B29DC"/>
    <w:rsid w:val="003B4C80"/>
    <w:rsid w:val="003B50DC"/>
    <w:rsid w:val="003B6FE6"/>
    <w:rsid w:val="003B7F19"/>
    <w:rsid w:val="003C0EF2"/>
    <w:rsid w:val="003C2F51"/>
    <w:rsid w:val="003C359F"/>
    <w:rsid w:val="003C3930"/>
    <w:rsid w:val="003C5504"/>
    <w:rsid w:val="003C7AD8"/>
    <w:rsid w:val="003D2110"/>
    <w:rsid w:val="003D245D"/>
    <w:rsid w:val="003D3091"/>
    <w:rsid w:val="003D3887"/>
    <w:rsid w:val="003D40F8"/>
    <w:rsid w:val="003D47DC"/>
    <w:rsid w:val="003D4EA4"/>
    <w:rsid w:val="003D55D1"/>
    <w:rsid w:val="003D5A31"/>
    <w:rsid w:val="003D601A"/>
    <w:rsid w:val="003D64F7"/>
    <w:rsid w:val="003D664D"/>
    <w:rsid w:val="003D6D19"/>
    <w:rsid w:val="003E0F9C"/>
    <w:rsid w:val="003E1C3F"/>
    <w:rsid w:val="003E1E0F"/>
    <w:rsid w:val="003E2684"/>
    <w:rsid w:val="003E4BB1"/>
    <w:rsid w:val="003F1F78"/>
    <w:rsid w:val="003F2598"/>
    <w:rsid w:val="003F2CF1"/>
    <w:rsid w:val="003F2E27"/>
    <w:rsid w:val="003F3B41"/>
    <w:rsid w:val="003F47A7"/>
    <w:rsid w:val="003F5048"/>
    <w:rsid w:val="003F50E3"/>
    <w:rsid w:val="003F772F"/>
    <w:rsid w:val="003F796F"/>
    <w:rsid w:val="0040181F"/>
    <w:rsid w:val="00401EEC"/>
    <w:rsid w:val="00403C24"/>
    <w:rsid w:val="00404E1E"/>
    <w:rsid w:val="00406A59"/>
    <w:rsid w:val="00407DA1"/>
    <w:rsid w:val="0041052B"/>
    <w:rsid w:val="00410774"/>
    <w:rsid w:val="00410D12"/>
    <w:rsid w:val="0041159B"/>
    <w:rsid w:val="0041221A"/>
    <w:rsid w:val="00412889"/>
    <w:rsid w:val="00414085"/>
    <w:rsid w:val="0041680C"/>
    <w:rsid w:val="00416DB6"/>
    <w:rsid w:val="00417471"/>
    <w:rsid w:val="004176A2"/>
    <w:rsid w:val="00417CE2"/>
    <w:rsid w:val="004206E9"/>
    <w:rsid w:val="00420857"/>
    <w:rsid w:val="00421CA0"/>
    <w:rsid w:val="00421DE9"/>
    <w:rsid w:val="004226C0"/>
    <w:rsid w:val="0042397A"/>
    <w:rsid w:val="004239F6"/>
    <w:rsid w:val="00424562"/>
    <w:rsid w:val="0042673B"/>
    <w:rsid w:val="00426B0E"/>
    <w:rsid w:val="00426B42"/>
    <w:rsid w:val="00426C95"/>
    <w:rsid w:val="00427AB9"/>
    <w:rsid w:val="00427B29"/>
    <w:rsid w:val="00430497"/>
    <w:rsid w:val="004313F1"/>
    <w:rsid w:val="00432F43"/>
    <w:rsid w:val="004350E0"/>
    <w:rsid w:val="004356AB"/>
    <w:rsid w:val="00435F80"/>
    <w:rsid w:val="00436ED8"/>
    <w:rsid w:val="00441F70"/>
    <w:rsid w:val="00443738"/>
    <w:rsid w:val="004438E2"/>
    <w:rsid w:val="0044420D"/>
    <w:rsid w:val="0044518F"/>
    <w:rsid w:val="00446CAC"/>
    <w:rsid w:val="00447416"/>
    <w:rsid w:val="00447E04"/>
    <w:rsid w:val="00450584"/>
    <w:rsid w:val="004513EF"/>
    <w:rsid w:val="00452469"/>
    <w:rsid w:val="00452E5A"/>
    <w:rsid w:val="004533D2"/>
    <w:rsid w:val="00453619"/>
    <w:rsid w:val="00453AC6"/>
    <w:rsid w:val="00453AE8"/>
    <w:rsid w:val="00454026"/>
    <w:rsid w:val="004551F8"/>
    <w:rsid w:val="00455A07"/>
    <w:rsid w:val="00455C35"/>
    <w:rsid w:val="00455F3B"/>
    <w:rsid w:val="004563EA"/>
    <w:rsid w:val="004565A5"/>
    <w:rsid w:val="0045671C"/>
    <w:rsid w:val="00460CFB"/>
    <w:rsid w:val="00464F4F"/>
    <w:rsid w:val="00465C8F"/>
    <w:rsid w:val="00466249"/>
    <w:rsid w:val="00470A97"/>
    <w:rsid w:val="00470E67"/>
    <w:rsid w:val="0047211F"/>
    <w:rsid w:val="00472D11"/>
    <w:rsid w:val="00472E1C"/>
    <w:rsid w:val="004738ED"/>
    <w:rsid w:val="00474363"/>
    <w:rsid w:val="004744EA"/>
    <w:rsid w:val="00475DBB"/>
    <w:rsid w:val="00476395"/>
    <w:rsid w:val="004764BD"/>
    <w:rsid w:val="0047737C"/>
    <w:rsid w:val="004776C2"/>
    <w:rsid w:val="00482FB5"/>
    <w:rsid w:val="004837B9"/>
    <w:rsid w:val="00483DB7"/>
    <w:rsid w:val="00483FC0"/>
    <w:rsid w:val="0048463E"/>
    <w:rsid w:val="00484838"/>
    <w:rsid w:val="00487A44"/>
    <w:rsid w:val="00490350"/>
    <w:rsid w:val="00490F99"/>
    <w:rsid w:val="00493564"/>
    <w:rsid w:val="0049510B"/>
    <w:rsid w:val="00495F0A"/>
    <w:rsid w:val="00496392"/>
    <w:rsid w:val="004A02EF"/>
    <w:rsid w:val="004A0732"/>
    <w:rsid w:val="004A132C"/>
    <w:rsid w:val="004A30ED"/>
    <w:rsid w:val="004A3D5F"/>
    <w:rsid w:val="004A3EB1"/>
    <w:rsid w:val="004A3FA3"/>
    <w:rsid w:val="004A58D5"/>
    <w:rsid w:val="004A6138"/>
    <w:rsid w:val="004A6394"/>
    <w:rsid w:val="004A7F94"/>
    <w:rsid w:val="004B00FB"/>
    <w:rsid w:val="004B03A6"/>
    <w:rsid w:val="004B1496"/>
    <w:rsid w:val="004B15E5"/>
    <w:rsid w:val="004B1C07"/>
    <w:rsid w:val="004B1F04"/>
    <w:rsid w:val="004B2253"/>
    <w:rsid w:val="004B3CCF"/>
    <w:rsid w:val="004B3FDD"/>
    <w:rsid w:val="004B46E7"/>
    <w:rsid w:val="004B4E5B"/>
    <w:rsid w:val="004B6CC2"/>
    <w:rsid w:val="004B760D"/>
    <w:rsid w:val="004B79D3"/>
    <w:rsid w:val="004B7C9D"/>
    <w:rsid w:val="004B7DA7"/>
    <w:rsid w:val="004C0042"/>
    <w:rsid w:val="004C014A"/>
    <w:rsid w:val="004C1A0A"/>
    <w:rsid w:val="004C3B38"/>
    <w:rsid w:val="004C3CA1"/>
    <w:rsid w:val="004C3F35"/>
    <w:rsid w:val="004C4300"/>
    <w:rsid w:val="004C4878"/>
    <w:rsid w:val="004C63C8"/>
    <w:rsid w:val="004D0F60"/>
    <w:rsid w:val="004D14DD"/>
    <w:rsid w:val="004D2551"/>
    <w:rsid w:val="004D2B79"/>
    <w:rsid w:val="004D32EB"/>
    <w:rsid w:val="004D4087"/>
    <w:rsid w:val="004D612D"/>
    <w:rsid w:val="004D7AF7"/>
    <w:rsid w:val="004D7B61"/>
    <w:rsid w:val="004E0B2A"/>
    <w:rsid w:val="004E1489"/>
    <w:rsid w:val="004E28DC"/>
    <w:rsid w:val="004E2AA5"/>
    <w:rsid w:val="004E5575"/>
    <w:rsid w:val="004E6244"/>
    <w:rsid w:val="004E6B47"/>
    <w:rsid w:val="004E7FEC"/>
    <w:rsid w:val="004F1C54"/>
    <w:rsid w:val="004F206B"/>
    <w:rsid w:val="004F2DA9"/>
    <w:rsid w:val="004F420F"/>
    <w:rsid w:val="004F4532"/>
    <w:rsid w:val="004F68A3"/>
    <w:rsid w:val="00501899"/>
    <w:rsid w:val="00502E40"/>
    <w:rsid w:val="0050302D"/>
    <w:rsid w:val="005039E9"/>
    <w:rsid w:val="0050405B"/>
    <w:rsid w:val="00505364"/>
    <w:rsid w:val="00505809"/>
    <w:rsid w:val="005100F7"/>
    <w:rsid w:val="0051012C"/>
    <w:rsid w:val="00511662"/>
    <w:rsid w:val="0051357C"/>
    <w:rsid w:val="00515C8C"/>
    <w:rsid w:val="0051607E"/>
    <w:rsid w:val="0051677F"/>
    <w:rsid w:val="00516BEA"/>
    <w:rsid w:val="00517898"/>
    <w:rsid w:val="00517D4B"/>
    <w:rsid w:val="00517D58"/>
    <w:rsid w:val="00520D75"/>
    <w:rsid w:val="00520F15"/>
    <w:rsid w:val="0052165C"/>
    <w:rsid w:val="00521729"/>
    <w:rsid w:val="00522824"/>
    <w:rsid w:val="00524511"/>
    <w:rsid w:val="00530564"/>
    <w:rsid w:val="00531427"/>
    <w:rsid w:val="00531AE1"/>
    <w:rsid w:val="00531DC0"/>
    <w:rsid w:val="005368D3"/>
    <w:rsid w:val="00536ACF"/>
    <w:rsid w:val="00537ECC"/>
    <w:rsid w:val="00540C52"/>
    <w:rsid w:val="00541333"/>
    <w:rsid w:val="005419FE"/>
    <w:rsid w:val="00542381"/>
    <w:rsid w:val="00544AC0"/>
    <w:rsid w:val="00544B3C"/>
    <w:rsid w:val="00545BA4"/>
    <w:rsid w:val="00545CB2"/>
    <w:rsid w:val="00546E0C"/>
    <w:rsid w:val="00547AFD"/>
    <w:rsid w:val="00547CC2"/>
    <w:rsid w:val="00552067"/>
    <w:rsid w:val="0055416D"/>
    <w:rsid w:val="005544D5"/>
    <w:rsid w:val="00554870"/>
    <w:rsid w:val="00554A14"/>
    <w:rsid w:val="00554FD6"/>
    <w:rsid w:val="005551C3"/>
    <w:rsid w:val="00555AC2"/>
    <w:rsid w:val="00557257"/>
    <w:rsid w:val="00557D59"/>
    <w:rsid w:val="00563BCB"/>
    <w:rsid w:val="005640B6"/>
    <w:rsid w:val="00565736"/>
    <w:rsid w:val="00565FDF"/>
    <w:rsid w:val="005676F7"/>
    <w:rsid w:val="00571769"/>
    <w:rsid w:val="00571D98"/>
    <w:rsid w:val="00571DC1"/>
    <w:rsid w:val="005727F7"/>
    <w:rsid w:val="005729D7"/>
    <w:rsid w:val="00573A61"/>
    <w:rsid w:val="00574799"/>
    <w:rsid w:val="00575097"/>
    <w:rsid w:val="00575841"/>
    <w:rsid w:val="00576676"/>
    <w:rsid w:val="00576800"/>
    <w:rsid w:val="00576A24"/>
    <w:rsid w:val="00580B50"/>
    <w:rsid w:val="00580CEA"/>
    <w:rsid w:val="00582099"/>
    <w:rsid w:val="005828E5"/>
    <w:rsid w:val="00583289"/>
    <w:rsid w:val="00584347"/>
    <w:rsid w:val="00586397"/>
    <w:rsid w:val="00586D82"/>
    <w:rsid w:val="00587147"/>
    <w:rsid w:val="0058721A"/>
    <w:rsid w:val="00590070"/>
    <w:rsid w:val="00590646"/>
    <w:rsid w:val="0059076D"/>
    <w:rsid w:val="00591862"/>
    <w:rsid w:val="0059252A"/>
    <w:rsid w:val="005928C3"/>
    <w:rsid w:val="00592C3D"/>
    <w:rsid w:val="0059331A"/>
    <w:rsid w:val="00593A17"/>
    <w:rsid w:val="005960A3"/>
    <w:rsid w:val="00596211"/>
    <w:rsid w:val="00597344"/>
    <w:rsid w:val="005A0B9C"/>
    <w:rsid w:val="005A121C"/>
    <w:rsid w:val="005A1793"/>
    <w:rsid w:val="005A18A9"/>
    <w:rsid w:val="005A18AD"/>
    <w:rsid w:val="005A1AC6"/>
    <w:rsid w:val="005A2D54"/>
    <w:rsid w:val="005A32F7"/>
    <w:rsid w:val="005A3AB1"/>
    <w:rsid w:val="005A3CF9"/>
    <w:rsid w:val="005A767B"/>
    <w:rsid w:val="005A7887"/>
    <w:rsid w:val="005A7902"/>
    <w:rsid w:val="005B0141"/>
    <w:rsid w:val="005B0E1C"/>
    <w:rsid w:val="005B193F"/>
    <w:rsid w:val="005B3744"/>
    <w:rsid w:val="005B495A"/>
    <w:rsid w:val="005B4AC0"/>
    <w:rsid w:val="005B4C7E"/>
    <w:rsid w:val="005B611F"/>
    <w:rsid w:val="005B6139"/>
    <w:rsid w:val="005B61B3"/>
    <w:rsid w:val="005B6451"/>
    <w:rsid w:val="005B67DB"/>
    <w:rsid w:val="005B7F5F"/>
    <w:rsid w:val="005C102D"/>
    <w:rsid w:val="005C5FCA"/>
    <w:rsid w:val="005C604F"/>
    <w:rsid w:val="005C6753"/>
    <w:rsid w:val="005C6FF9"/>
    <w:rsid w:val="005C770B"/>
    <w:rsid w:val="005D3446"/>
    <w:rsid w:val="005D39C3"/>
    <w:rsid w:val="005D4D83"/>
    <w:rsid w:val="005D4F25"/>
    <w:rsid w:val="005D6BE2"/>
    <w:rsid w:val="005D7385"/>
    <w:rsid w:val="005D784E"/>
    <w:rsid w:val="005E06CF"/>
    <w:rsid w:val="005E2D56"/>
    <w:rsid w:val="005E3A9E"/>
    <w:rsid w:val="005E47DD"/>
    <w:rsid w:val="005E6639"/>
    <w:rsid w:val="005E6A26"/>
    <w:rsid w:val="005F1869"/>
    <w:rsid w:val="005F19C9"/>
    <w:rsid w:val="005F2383"/>
    <w:rsid w:val="005F23BA"/>
    <w:rsid w:val="005F394E"/>
    <w:rsid w:val="005F55B8"/>
    <w:rsid w:val="005F595C"/>
    <w:rsid w:val="005F5D1C"/>
    <w:rsid w:val="006004B8"/>
    <w:rsid w:val="00600EE8"/>
    <w:rsid w:val="0060109B"/>
    <w:rsid w:val="006022BC"/>
    <w:rsid w:val="00602CED"/>
    <w:rsid w:val="00603B3D"/>
    <w:rsid w:val="00604419"/>
    <w:rsid w:val="0060478D"/>
    <w:rsid w:val="0060478F"/>
    <w:rsid w:val="00604C9E"/>
    <w:rsid w:val="0060667A"/>
    <w:rsid w:val="00611622"/>
    <w:rsid w:val="0061167B"/>
    <w:rsid w:val="00611A6E"/>
    <w:rsid w:val="00612A90"/>
    <w:rsid w:val="00612D26"/>
    <w:rsid w:val="0061335F"/>
    <w:rsid w:val="00614F11"/>
    <w:rsid w:val="00615751"/>
    <w:rsid w:val="006162B0"/>
    <w:rsid w:val="0062015B"/>
    <w:rsid w:val="0062098D"/>
    <w:rsid w:val="00620B65"/>
    <w:rsid w:val="00622F8B"/>
    <w:rsid w:val="00623D9D"/>
    <w:rsid w:val="00624888"/>
    <w:rsid w:val="00625D0F"/>
    <w:rsid w:val="006263C2"/>
    <w:rsid w:val="00626623"/>
    <w:rsid w:val="006278BC"/>
    <w:rsid w:val="00630D3E"/>
    <w:rsid w:val="00630F3F"/>
    <w:rsid w:val="00631BD9"/>
    <w:rsid w:val="00636454"/>
    <w:rsid w:val="006369B1"/>
    <w:rsid w:val="00636AD9"/>
    <w:rsid w:val="00636CAE"/>
    <w:rsid w:val="006379F0"/>
    <w:rsid w:val="00637B04"/>
    <w:rsid w:val="00640250"/>
    <w:rsid w:val="00640CE0"/>
    <w:rsid w:val="006415A7"/>
    <w:rsid w:val="0064263B"/>
    <w:rsid w:val="00642F0D"/>
    <w:rsid w:val="006439CD"/>
    <w:rsid w:val="00643EBE"/>
    <w:rsid w:val="00643FED"/>
    <w:rsid w:val="00644AAE"/>
    <w:rsid w:val="006452B6"/>
    <w:rsid w:val="006456F1"/>
    <w:rsid w:val="0064599F"/>
    <w:rsid w:val="006472CE"/>
    <w:rsid w:val="00650862"/>
    <w:rsid w:val="0065341C"/>
    <w:rsid w:val="00653695"/>
    <w:rsid w:val="006538BC"/>
    <w:rsid w:val="00653E70"/>
    <w:rsid w:val="00654067"/>
    <w:rsid w:val="0065550B"/>
    <w:rsid w:val="00656FD6"/>
    <w:rsid w:val="006627AC"/>
    <w:rsid w:val="00665E4A"/>
    <w:rsid w:val="00666C97"/>
    <w:rsid w:val="00671B73"/>
    <w:rsid w:val="0067297E"/>
    <w:rsid w:val="00673143"/>
    <w:rsid w:val="00673DD6"/>
    <w:rsid w:val="006748B3"/>
    <w:rsid w:val="00674AEB"/>
    <w:rsid w:val="00675CE8"/>
    <w:rsid w:val="006770BE"/>
    <w:rsid w:val="006779FB"/>
    <w:rsid w:val="00681D55"/>
    <w:rsid w:val="00681F4E"/>
    <w:rsid w:val="006845E4"/>
    <w:rsid w:val="006859BC"/>
    <w:rsid w:val="00685EC7"/>
    <w:rsid w:val="0068633C"/>
    <w:rsid w:val="006866F5"/>
    <w:rsid w:val="00690D9B"/>
    <w:rsid w:val="006917FD"/>
    <w:rsid w:val="00691A5D"/>
    <w:rsid w:val="00692718"/>
    <w:rsid w:val="00693706"/>
    <w:rsid w:val="00694EB3"/>
    <w:rsid w:val="00695453"/>
    <w:rsid w:val="00695EBB"/>
    <w:rsid w:val="00697FCD"/>
    <w:rsid w:val="006A0C95"/>
    <w:rsid w:val="006A1C78"/>
    <w:rsid w:val="006A1F24"/>
    <w:rsid w:val="006A30F3"/>
    <w:rsid w:val="006A332D"/>
    <w:rsid w:val="006A4949"/>
    <w:rsid w:val="006A4C77"/>
    <w:rsid w:val="006A580C"/>
    <w:rsid w:val="006A5F32"/>
    <w:rsid w:val="006A6C69"/>
    <w:rsid w:val="006A753E"/>
    <w:rsid w:val="006A75FC"/>
    <w:rsid w:val="006A7C16"/>
    <w:rsid w:val="006B0179"/>
    <w:rsid w:val="006B0D1C"/>
    <w:rsid w:val="006B14C3"/>
    <w:rsid w:val="006B16A9"/>
    <w:rsid w:val="006B319B"/>
    <w:rsid w:val="006B3484"/>
    <w:rsid w:val="006B4006"/>
    <w:rsid w:val="006B64AF"/>
    <w:rsid w:val="006B710E"/>
    <w:rsid w:val="006B7E77"/>
    <w:rsid w:val="006C00E5"/>
    <w:rsid w:val="006C2A22"/>
    <w:rsid w:val="006C2C7A"/>
    <w:rsid w:val="006C3FC6"/>
    <w:rsid w:val="006C470B"/>
    <w:rsid w:val="006C5B0B"/>
    <w:rsid w:val="006C607D"/>
    <w:rsid w:val="006C6ECC"/>
    <w:rsid w:val="006D0152"/>
    <w:rsid w:val="006D01BA"/>
    <w:rsid w:val="006D04F6"/>
    <w:rsid w:val="006D134C"/>
    <w:rsid w:val="006D242E"/>
    <w:rsid w:val="006D2C99"/>
    <w:rsid w:val="006D3609"/>
    <w:rsid w:val="006D5C7B"/>
    <w:rsid w:val="006D6334"/>
    <w:rsid w:val="006D6343"/>
    <w:rsid w:val="006D7524"/>
    <w:rsid w:val="006E79AD"/>
    <w:rsid w:val="006E7D8A"/>
    <w:rsid w:val="006F0513"/>
    <w:rsid w:val="006F0B61"/>
    <w:rsid w:val="006F1017"/>
    <w:rsid w:val="006F1854"/>
    <w:rsid w:val="006F1B38"/>
    <w:rsid w:val="006F3EDC"/>
    <w:rsid w:val="006F46AD"/>
    <w:rsid w:val="006F4911"/>
    <w:rsid w:val="006F5838"/>
    <w:rsid w:val="006F6262"/>
    <w:rsid w:val="006F6770"/>
    <w:rsid w:val="006F7658"/>
    <w:rsid w:val="0070068D"/>
    <w:rsid w:val="007016E7"/>
    <w:rsid w:val="0070483D"/>
    <w:rsid w:val="00704A2E"/>
    <w:rsid w:val="007063E7"/>
    <w:rsid w:val="00706B0E"/>
    <w:rsid w:val="00707105"/>
    <w:rsid w:val="00707CEB"/>
    <w:rsid w:val="00707DCC"/>
    <w:rsid w:val="00711870"/>
    <w:rsid w:val="00713AC6"/>
    <w:rsid w:val="007152A0"/>
    <w:rsid w:val="007153FD"/>
    <w:rsid w:val="00715BEF"/>
    <w:rsid w:val="00715D30"/>
    <w:rsid w:val="00717D87"/>
    <w:rsid w:val="00721589"/>
    <w:rsid w:val="00724637"/>
    <w:rsid w:val="00724B7B"/>
    <w:rsid w:val="007255C2"/>
    <w:rsid w:val="00726057"/>
    <w:rsid w:val="007274A2"/>
    <w:rsid w:val="00731576"/>
    <w:rsid w:val="0073197C"/>
    <w:rsid w:val="00731FFB"/>
    <w:rsid w:val="00732EA3"/>
    <w:rsid w:val="0073499B"/>
    <w:rsid w:val="00735FC0"/>
    <w:rsid w:val="00736F15"/>
    <w:rsid w:val="00740D78"/>
    <w:rsid w:val="007430E0"/>
    <w:rsid w:val="007432B1"/>
    <w:rsid w:val="00744379"/>
    <w:rsid w:val="007448A6"/>
    <w:rsid w:val="007468C8"/>
    <w:rsid w:val="0074699D"/>
    <w:rsid w:val="007470A1"/>
    <w:rsid w:val="00747FB6"/>
    <w:rsid w:val="007506FF"/>
    <w:rsid w:val="00750F0E"/>
    <w:rsid w:val="00751940"/>
    <w:rsid w:val="00751C47"/>
    <w:rsid w:val="00752BE1"/>
    <w:rsid w:val="00754303"/>
    <w:rsid w:val="00754EB3"/>
    <w:rsid w:val="007603D7"/>
    <w:rsid w:val="00761213"/>
    <w:rsid w:val="00761397"/>
    <w:rsid w:val="00761D4D"/>
    <w:rsid w:val="007622A4"/>
    <w:rsid w:val="00763C45"/>
    <w:rsid w:val="00763C55"/>
    <w:rsid w:val="00763E6C"/>
    <w:rsid w:val="007663BF"/>
    <w:rsid w:val="00770904"/>
    <w:rsid w:val="00770B65"/>
    <w:rsid w:val="00771272"/>
    <w:rsid w:val="00771426"/>
    <w:rsid w:val="00771AD8"/>
    <w:rsid w:val="00775B86"/>
    <w:rsid w:val="0077675F"/>
    <w:rsid w:val="007770F5"/>
    <w:rsid w:val="00777703"/>
    <w:rsid w:val="00777742"/>
    <w:rsid w:val="007804DC"/>
    <w:rsid w:val="0078059E"/>
    <w:rsid w:val="007809FC"/>
    <w:rsid w:val="007816A3"/>
    <w:rsid w:val="0078177E"/>
    <w:rsid w:val="0078257B"/>
    <w:rsid w:val="00783AE1"/>
    <w:rsid w:val="00784480"/>
    <w:rsid w:val="00784825"/>
    <w:rsid w:val="0078534D"/>
    <w:rsid w:val="00785B00"/>
    <w:rsid w:val="00786A50"/>
    <w:rsid w:val="00786B58"/>
    <w:rsid w:val="00786DCA"/>
    <w:rsid w:val="007877BC"/>
    <w:rsid w:val="00787BD3"/>
    <w:rsid w:val="00790ACC"/>
    <w:rsid w:val="00791A11"/>
    <w:rsid w:val="00792F4C"/>
    <w:rsid w:val="007934EE"/>
    <w:rsid w:val="0079449B"/>
    <w:rsid w:val="007948B2"/>
    <w:rsid w:val="0079491B"/>
    <w:rsid w:val="00795CA0"/>
    <w:rsid w:val="00796815"/>
    <w:rsid w:val="00797300"/>
    <w:rsid w:val="007A0822"/>
    <w:rsid w:val="007A18EE"/>
    <w:rsid w:val="007A4875"/>
    <w:rsid w:val="007A5679"/>
    <w:rsid w:val="007B0F7D"/>
    <w:rsid w:val="007B1294"/>
    <w:rsid w:val="007B1C84"/>
    <w:rsid w:val="007B299F"/>
    <w:rsid w:val="007B3A73"/>
    <w:rsid w:val="007B3DA2"/>
    <w:rsid w:val="007B3EB7"/>
    <w:rsid w:val="007B51C8"/>
    <w:rsid w:val="007B7482"/>
    <w:rsid w:val="007B7583"/>
    <w:rsid w:val="007C07A3"/>
    <w:rsid w:val="007C0C8F"/>
    <w:rsid w:val="007C13D8"/>
    <w:rsid w:val="007C1812"/>
    <w:rsid w:val="007C2CAC"/>
    <w:rsid w:val="007C3B09"/>
    <w:rsid w:val="007C4B1E"/>
    <w:rsid w:val="007C51D1"/>
    <w:rsid w:val="007C5374"/>
    <w:rsid w:val="007C53E8"/>
    <w:rsid w:val="007C5A52"/>
    <w:rsid w:val="007D04BE"/>
    <w:rsid w:val="007D0597"/>
    <w:rsid w:val="007D1AF9"/>
    <w:rsid w:val="007E00B9"/>
    <w:rsid w:val="007E11B7"/>
    <w:rsid w:val="007E1D7E"/>
    <w:rsid w:val="007E3FFF"/>
    <w:rsid w:val="007E4607"/>
    <w:rsid w:val="007E4970"/>
    <w:rsid w:val="007E4B65"/>
    <w:rsid w:val="007E6442"/>
    <w:rsid w:val="007E6768"/>
    <w:rsid w:val="007F04CA"/>
    <w:rsid w:val="007F0D21"/>
    <w:rsid w:val="007F2944"/>
    <w:rsid w:val="007F3496"/>
    <w:rsid w:val="007F38FB"/>
    <w:rsid w:val="007F41B6"/>
    <w:rsid w:val="007F4532"/>
    <w:rsid w:val="007F4DBE"/>
    <w:rsid w:val="007F604C"/>
    <w:rsid w:val="007F6182"/>
    <w:rsid w:val="007F69A8"/>
    <w:rsid w:val="007F7064"/>
    <w:rsid w:val="007F76B3"/>
    <w:rsid w:val="008000F3"/>
    <w:rsid w:val="00800746"/>
    <w:rsid w:val="00801F35"/>
    <w:rsid w:val="00802B2A"/>
    <w:rsid w:val="00802B3F"/>
    <w:rsid w:val="0080332C"/>
    <w:rsid w:val="0080394B"/>
    <w:rsid w:val="00803E9E"/>
    <w:rsid w:val="00803F64"/>
    <w:rsid w:val="00805722"/>
    <w:rsid w:val="00805AAF"/>
    <w:rsid w:val="008073F9"/>
    <w:rsid w:val="008103E8"/>
    <w:rsid w:val="00810437"/>
    <w:rsid w:val="00811AD2"/>
    <w:rsid w:val="0081348A"/>
    <w:rsid w:val="00813CE8"/>
    <w:rsid w:val="00815145"/>
    <w:rsid w:val="00815E71"/>
    <w:rsid w:val="008164AA"/>
    <w:rsid w:val="0081650E"/>
    <w:rsid w:val="00816C2D"/>
    <w:rsid w:val="008178AB"/>
    <w:rsid w:val="008226EE"/>
    <w:rsid w:val="00822C5A"/>
    <w:rsid w:val="00823519"/>
    <w:rsid w:val="0082478C"/>
    <w:rsid w:val="0082502B"/>
    <w:rsid w:val="00825A7B"/>
    <w:rsid w:val="00825B4E"/>
    <w:rsid w:val="00825BB0"/>
    <w:rsid w:val="00826B52"/>
    <w:rsid w:val="00827123"/>
    <w:rsid w:val="00830103"/>
    <w:rsid w:val="008306E0"/>
    <w:rsid w:val="00830C29"/>
    <w:rsid w:val="008323C8"/>
    <w:rsid w:val="008326C3"/>
    <w:rsid w:val="00832ACB"/>
    <w:rsid w:val="00833079"/>
    <w:rsid w:val="00835040"/>
    <w:rsid w:val="00837022"/>
    <w:rsid w:val="00837B1C"/>
    <w:rsid w:val="00840112"/>
    <w:rsid w:val="008406C0"/>
    <w:rsid w:val="008415D1"/>
    <w:rsid w:val="00843D28"/>
    <w:rsid w:val="00843F7A"/>
    <w:rsid w:val="0084464E"/>
    <w:rsid w:val="00844BE9"/>
    <w:rsid w:val="00846E73"/>
    <w:rsid w:val="00847025"/>
    <w:rsid w:val="008477A4"/>
    <w:rsid w:val="0085094F"/>
    <w:rsid w:val="00850DD0"/>
    <w:rsid w:val="00851545"/>
    <w:rsid w:val="00851D42"/>
    <w:rsid w:val="00853DEB"/>
    <w:rsid w:val="00855656"/>
    <w:rsid w:val="00855DDB"/>
    <w:rsid w:val="00856FC4"/>
    <w:rsid w:val="00856FFF"/>
    <w:rsid w:val="00857545"/>
    <w:rsid w:val="0086025E"/>
    <w:rsid w:val="0086160E"/>
    <w:rsid w:val="00862D45"/>
    <w:rsid w:val="00863260"/>
    <w:rsid w:val="00864867"/>
    <w:rsid w:val="00865732"/>
    <w:rsid w:val="00867F26"/>
    <w:rsid w:val="00872709"/>
    <w:rsid w:val="008729B7"/>
    <w:rsid w:val="0087337C"/>
    <w:rsid w:val="008741BE"/>
    <w:rsid w:val="00874800"/>
    <w:rsid w:val="00874894"/>
    <w:rsid w:val="00874A3A"/>
    <w:rsid w:val="008758C0"/>
    <w:rsid w:val="00880301"/>
    <w:rsid w:val="0088181F"/>
    <w:rsid w:val="00885044"/>
    <w:rsid w:val="0088555C"/>
    <w:rsid w:val="00891747"/>
    <w:rsid w:val="0089195D"/>
    <w:rsid w:val="008928CF"/>
    <w:rsid w:val="00894B3A"/>
    <w:rsid w:val="0089559D"/>
    <w:rsid w:val="00896B23"/>
    <w:rsid w:val="008977FE"/>
    <w:rsid w:val="008A0B7C"/>
    <w:rsid w:val="008A18A0"/>
    <w:rsid w:val="008A32CA"/>
    <w:rsid w:val="008A3BD2"/>
    <w:rsid w:val="008A3E4D"/>
    <w:rsid w:val="008A42F6"/>
    <w:rsid w:val="008A46A8"/>
    <w:rsid w:val="008A4AD3"/>
    <w:rsid w:val="008A4E49"/>
    <w:rsid w:val="008A6A42"/>
    <w:rsid w:val="008A6E7D"/>
    <w:rsid w:val="008B1D56"/>
    <w:rsid w:val="008B24AA"/>
    <w:rsid w:val="008B2767"/>
    <w:rsid w:val="008B4440"/>
    <w:rsid w:val="008B4EDF"/>
    <w:rsid w:val="008B5004"/>
    <w:rsid w:val="008B51BD"/>
    <w:rsid w:val="008B5287"/>
    <w:rsid w:val="008C0544"/>
    <w:rsid w:val="008C123E"/>
    <w:rsid w:val="008C2292"/>
    <w:rsid w:val="008C2F8A"/>
    <w:rsid w:val="008C57C5"/>
    <w:rsid w:val="008C7905"/>
    <w:rsid w:val="008D0718"/>
    <w:rsid w:val="008D2F5B"/>
    <w:rsid w:val="008D30C8"/>
    <w:rsid w:val="008D4AFF"/>
    <w:rsid w:val="008D5EFF"/>
    <w:rsid w:val="008D685D"/>
    <w:rsid w:val="008D6BA0"/>
    <w:rsid w:val="008D6CE7"/>
    <w:rsid w:val="008D71E3"/>
    <w:rsid w:val="008D7C4E"/>
    <w:rsid w:val="008D7FC3"/>
    <w:rsid w:val="008E02EC"/>
    <w:rsid w:val="008E3B53"/>
    <w:rsid w:val="008E40AE"/>
    <w:rsid w:val="008E48DB"/>
    <w:rsid w:val="008E546F"/>
    <w:rsid w:val="008E5B2A"/>
    <w:rsid w:val="008E6600"/>
    <w:rsid w:val="008E6706"/>
    <w:rsid w:val="008E7430"/>
    <w:rsid w:val="008E7723"/>
    <w:rsid w:val="008F084E"/>
    <w:rsid w:val="008F1096"/>
    <w:rsid w:val="008F1FFE"/>
    <w:rsid w:val="008F2CE0"/>
    <w:rsid w:val="008F3357"/>
    <w:rsid w:val="008F3D86"/>
    <w:rsid w:val="008F3ED5"/>
    <w:rsid w:val="008F4FB9"/>
    <w:rsid w:val="008F65A3"/>
    <w:rsid w:val="008F66C7"/>
    <w:rsid w:val="00901934"/>
    <w:rsid w:val="0090201C"/>
    <w:rsid w:val="00902770"/>
    <w:rsid w:val="00903206"/>
    <w:rsid w:val="00903461"/>
    <w:rsid w:val="009035D5"/>
    <w:rsid w:val="009049F2"/>
    <w:rsid w:val="00904AC9"/>
    <w:rsid w:val="009070CB"/>
    <w:rsid w:val="00910393"/>
    <w:rsid w:val="009107BA"/>
    <w:rsid w:val="009115E9"/>
    <w:rsid w:val="00911BD5"/>
    <w:rsid w:val="0091202D"/>
    <w:rsid w:val="009123DC"/>
    <w:rsid w:val="00912557"/>
    <w:rsid w:val="00912F34"/>
    <w:rsid w:val="00914C57"/>
    <w:rsid w:val="00916856"/>
    <w:rsid w:val="00916AA1"/>
    <w:rsid w:val="0091789B"/>
    <w:rsid w:val="00923B5B"/>
    <w:rsid w:val="00925BBD"/>
    <w:rsid w:val="009260F7"/>
    <w:rsid w:val="009269AB"/>
    <w:rsid w:val="00927652"/>
    <w:rsid w:val="009348BB"/>
    <w:rsid w:val="00935C05"/>
    <w:rsid w:val="00936062"/>
    <w:rsid w:val="00936565"/>
    <w:rsid w:val="00936BBC"/>
    <w:rsid w:val="00937B37"/>
    <w:rsid w:val="00940F0A"/>
    <w:rsid w:val="009418D6"/>
    <w:rsid w:val="00944518"/>
    <w:rsid w:val="00946F1B"/>
    <w:rsid w:val="00951FD6"/>
    <w:rsid w:val="009520A6"/>
    <w:rsid w:val="009535CD"/>
    <w:rsid w:val="009558DB"/>
    <w:rsid w:val="009560D0"/>
    <w:rsid w:val="0096186C"/>
    <w:rsid w:val="00961BD4"/>
    <w:rsid w:val="00961D74"/>
    <w:rsid w:val="00963115"/>
    <w:rsid w:val="009632D2"/>
    <w:rsid w:val="0096490C"/>
    <w:rsid w:val="00971C65"/>
    <w:rsid w:val="009762E9"/>
    <w:rsid w:val="00977A54"/>
    <w:rsid w:val="00977FD2"/>
    <w:rsid w:val="009811AC"/>
    <w:rsid w:val="00981FF2"/>
    <w:rsid w:val="0098254E"/>
    <w:rsid w:val="009849AF"/>
    <w:rsid w:val="009857CE"/>
    <w:rsid w:val="009857FF"/>
    <w:rsid w:val="00986568"/>
    <w:rsid w:val="009912F6"/>
    <w:rsid w:val="00991AEF"/>
    <w:rsid w:val="00992899"/>
    <w:rsid w:val="009938E7"/>
    <w:rsid w:val="00993C86"/>
    <w:rsid w:val="00995174"/>
    <w:rsid w:val="009A0507"/>
    <w:rsid w:val="009A3685"/>
    <w:rsid w:val="009A5321"/>
    <w:rsid w:val="009B29B2"/>
    <w:rsid w:val="009B30DA"/>
    <w:rsid w:val="009B3A1E"/>
    <w:rsid w:val="009B4A8F"/>
    <w:rsid w:val="009B6452"/>
    <w:rsid w:val="009B6487"/>
    <w:rsid w:val="009B6CE3"/>
    <w:rsid w:val="009C1A42"/>
    <w:rsid w:val="009C20B6"/>
    <w:rsid w:val="009C2565"/>
    <w:rsid w:val="009C2E76"/>
    <w:rsid w:val="009C4B23"/>
    <w:rsid w:val="009C627C"/>
    <w:rsid w:val="009C67C0"/>
    <w:rsid w:val="009C77E0"/>
    <w:rsid w:val="009D1AEA"/>
    <w:rsid w:val="009D4A55"/>
    <w:rsid w:val="009D5ED9"/>
    <w:rsid w:val="009D6E5B"/>
    <w:rsid w:val="009D7B2B"/>
    <w:rsid w:val="009E05F6"/>
    <w:rsid w:val="009E10A6"/>
    <w:rsid w:val="009E1339"/>
    <w:rsid w:val="009E4018"/>
    <w:rsid w:val="009E4367"/>
    <w:rsid w:val="009E469C"/>
    <w:rsid w:val="009E4F46"/>
    <w:rsid w:val="009E5583"/>
    <w:rsid w:val="009F0358"/>
    <w:rsid w:val="009F0D09"/>
    <w:rsid w:val="009F1365"/>
    <w:rsid w:val="009F1605"/>
    <w:rsid w:val="009F1AC6"/>
    <w:rsid w:val="009F1DE1"/>
    <w:rsid w:val="009F23A4"/>
    <w:rsid w:val="009F3003"/>
    <w:rsid w:val="009F4094"/>
    <w:rsid w:val="009F5483"/>
    <w:rsid w:val="009F621A"/>
    <w:rsid w:val="009F62E1"/>
    <w:rsid w:val="009F7260"/>
    <w:rsid w:val="009F7BF7"/>
    <w:rsid w:val="00A00B08"/>
    <w:rsid w:val="00A0104A"/>
    <w:rsid w:val="00A0192D"/>
    <w:rsid w:val="00A036E0"/>
    <w:rsid w:val="00A07275"/>
    <w:rsid w:val="00A07420"/>
    <w:rsid w:val="00A1033A"/>
    <w:rsid w:val="00A10D47"/>
    <w:rsid w:val="00A117B4"/>
    <w:rsid w:val="00A12A9A"/>
    <w:rsid w:val="00A16130"/>
    <w:rsid w:val="00A16571"/>
    <w:rsid w:val="00A175D1"/>
    <w:rsid w:val="00A17CD5"/>
    <w:rsid w:val="00A21081"/>
    <w:rsid w:val="00A22492"/>
    <w:rsid w:val="00A23371"/>
    <w:rsid w:val="00A2364D"/>
    <w:rsid w:val="00A24128"/>
    <w:rsid w:val="00A24871"/>
    <w:rsid w:val="00A24D9B"/>
    <w:rsid w:val="00A265D9"/>
    <w:rsid w:val="00A2736A"/>
    <w:rsid w:val="00A278AA"/>
    <w:rsid w:val="00A30C84"/>
    <w:rsid w:val="00A31213"/>
    <w:rsid w:val="00A31A0E"/>
    <w:rsid w:val="00A31F3A"/>
    <w:rsid w:val="00A32107"/>
    <w:rsid w:val="00A33001"/>
    <w:rsid w:val="00A337F2"/>
    <w:rsid w:val="00A33802"/>
    <w:rsid w:val="00A35574"/>
    <w:rsid w:val="00A356FE"/>
    <w:rsid w:val="00A36451"/>
    <w:rsid w:val="00A36B3B"/>
    <w:rsid w:val="00A37A43"/>
    <w:rsid w:val="00A4035C"/>
    <w:rsid w:val="00A41442"/>
    <w:rsid w:val="00A4264B"/>
    <w:rsid w:val="00A42BAC"/>
    <w:rsid w:val="00A43336"/>
    <w:rsid w:val="00A43361"/>
    <w:rsid w:val="00A43ADF"/>
    <w:rsid w:val="00A44165"/>
    <w:rsid w:val="00A446AD"/>
    <w:rsid w:val="00A4610D"/>
    <w:rsid w:val="00A47930"/>
    <w:rsid w:val="00A47A5B"/>
    <w:rsid w:val="00A503E4"/>
    <w:rsid w:val="00A508A0"/>
    <w:rsid w:val="00A5128B"/>
    <w:rsid w:val="00A512ED"/>
    <w:rsid w:val="00A518D3"/>
    <w:rsid w:val="00A519CD"/>
    <w:rsid w:val="00A51A9F"/>
    <w:rsid w:val="00A524C4"/>
    <w:rsid w:val="00A52E5E"/>
    <w:rsid w:val="00A52EE3"/>
    <w:rsid w:val="00A54027"/>
    <w:rsid w:val="00A5547E"/>
    <w:rsid w:val="00A55598"/>
    <w:rsid w:val="00A5567B"/>
    <w:rsid w:val="00A57EDE"/>
    <w:rsid w:val="00A605A3"/>
    <w:rsid w:val="00A60B22"/>
    <w:rsid w:val="00A60C6B"/>
    <w:rsid w:val="00A6272A"/>
    <w:rsid w:val="00A63E6C"/>
    <w:rsid w:val="00A64877"/>
    <w:rsid w:val="00A65986"/>
    <w:rsid w:val="00A67A31"/>
    <w:rsid w:val="00A67D92"/>
    <w:rsid w:val="00A7247A"/>
    <w:rsid w:val="00A728F7"/>
    <w:rsid w:val="00A72CD4"/>
    <w:rsid w:val="00A7352F"/>
    <w:rsid w:val="00A73E7C"/>
    <w:rsid w:val="00A73EB1"/>
    <w:rsid w:val="00A745EA"/>
    <w:rsid w:val="00A7536F"/>
    <w:rsid w:val="00A75725"/>
    <w:rsid w:val="00A759C8"/>
    <w:rsid w:val="00A76FBD"/>
    <w:rsid w:val="00A7719A"/>
    <w:rsid w:val="00A7755C"/>
    <w:rsid w:val="00A805D9"/>
    <w:rsid w:val="00A84165"/>
    <w:rsid w:val="00A8419C"/>
    <w:rsid w:val="00A842E5"/>
    <w:rsid w:val="00A84509"/>
    <w:rsid w:val="00A852F1"/>
    <w:rsid w:val="00A8611C"/>
    <w:rsid w:val="00A8668E"/>
    <w:rsid w:val="00A869D1"/>
    <w:rsid w:val="00A86BC1"/>
    <w:rsid w:val="00A873B2"/>
    <w:rsid w:val="00A87B8B"/>
    <w:rsid w:val="00A901B5"/>
    <w:rsid w:val="00A9039A"/>
    <w:rsid w:val="00A9108A"/>
    <w:rsid w:val="00A9289E"/>
    <w:rsid w:val="00A92D65"/>
    <w:rsid w:val="00A9613D"/>
    <w:rsid w:val="00A97FB1"/>
    <w:rsid w:val="00AA0245"/>
    <w:rsid w:val="00AA0586"/>
    <w:rsid w:val="00AA367C"/>
    <w:rsid w:val="00AA3FF0"/>
    <w:rsid w:val="00AA47F2"/>
    <w:rsid w:val="00AA4C3C"/>
    <w:rsid w:val="00AA5343"/>
    <w:rsid w:val="00AB00B3"/>
    <w:rsid w:val="00AB1A88"/>
    <w:rsid w:val="00AB1E25"/>
    <w:rsid w:val="00AB22D9"/>
    <w:rsid w:val="00AB3DDD"/>
    <w:rsid w:val="00AB3ED9"/>
    <w:rsid w:val="00AB4110"/>
    <w:rsid w:val="00AB7614"/>
    <w:rsid w:val="00AC1132"/>
    <w:rsid w:val="00AC1BC6"/>
    <w:rsid w:val="00AC4783"/>
    <w:rsid w:val="00AC47DC"/>
    <w:rsid w:val="00AC4F3F"/>
    <w:rsid w:val="00AC565C"/>
    <w:rsid w:val="00AC5B2A"/>
    <w:rsid w:val="00AC5E8A"/>
    <w:rsid w:val="00AC6D24"/>
    <w:rsid w:val="00AD026C"/>
    <w:rsid w:val="00AD14C4"/>
    <w:rsid w:val="00AD1B02"/>
    <w:rsid w:val="00AD1F24"/>
    <w:rsid w:val="00AD4360"/>
    <w:rsid w:val="00AD45D2"/>
    <w:rsid w:val="00AD5CDB"/>
    <w:rsid w:val="00AE11A1"/>
    <w:rsid w:val="00AE1279"/>
    <w:rsid w:val="00AE137B"/>
    <w:rsid w:val="00AE2A30"/>
    <w:rsid w:val="00AE33F0"/>
    <w:rsid w:val="00AE3C49"/>
    <w:rsid w:val="00AE57E7"/>
    <w:rsid w:val="00AE60DB"/>
    <w:rsid w:val="00AE6224"/>
    <w:rsid w:val="00AE739F"/>
    <w:rsid w:val="00AF0747"/>
    <w:rsid w:val="00AF2427"/>
    <w:rsid w:val="00AF59ED"/>
    <w:rsid w:val="00AF59FD"/>
    <w:rsid w:val="00B00967"/>
    <w:rsid w:val="00B01B39"/>
    <w:rsid w:val="00B03358"/>
    <w:rsid w:val="00B0359E"/>
    <w:rsid w:val="00B0478D"/>
    <w:rsid w:val="00B04CCE"/>
    <w:rsid w:val="00B05F31"/>
    <w:rsid w:val="00B06594"/>
    <w:rsid w:val="00B07BD6"/>
    <w:rsid w:val="00B12983"/>
    <w:rsid w:val="00B12BB0"/>
    <w:rsid w:val="00B146B8"/>
    <w:rsid w:val="00B15DA1"/>
    <w:rsid w:val="00B16D21"/>
    <w:rsid w:val="00B17827"/>
    <w:rsid w:val="00B208D4"/>
    <w:rsid w:val="00B20941"/>
    <w:rsid w:val="00B211E9"/>
    <w:rsid w:val="00B217D8"/>
    <w:rsid w:val="00B221E3"/>
    <w:rsid w:val="00B23ECE"/>
    <w:rsid w:val="00B24223"/>
    <w:rsid w:val="00B24449"/>
    <w:rsid w:val="00B24B86"/>
    <w:rsid w:val="00B24E2B"/>
    <w:rsid w:val="00B2559B"/>
    <w:rsid w:val="00B26B1B"/>
    <w:rsid w:val="00B27E28"/>
    <w:rsid w:val="00B3012E"/>
    <w:rsid w:val="00B315AC"/>
    <w:rsid w:val="00B320CC"/>
    <w:rsid w:val="00B32633"/>
    <w:rsid w:val="00B327D6"/>
    <w:rsid w:val="00B32962"/>
    <w:rsid w:val="00B329BE"/>
    <w:rsid w:val="00B32DC5"/>
    <w:rsid w:val="00B342F7"/>
    <w:rsid w:val="00B349AD"/>
    <w:rsid w:val="00B3686B"/>
    <w:rsid w:val="00B4073F"/>
    <w:rsid w:val="00B41200"/>
    <w:rsid w:val="00B414E5"/>
    <w:rsid w:val="00B4189E"/>
    <w:rsid w:val="00B43A6B"/>
    <w:rsid w:val="00B4400A"/>
    <w:rsid w:val="00B45DF9"/>
    <w:rsid w:val="00B45E39"/>
    <w:rsid w:val="00B46AD1"/>
    <w:rsid w:val="00B473DE"/>
    <w:rsid w:val="00B47FF5"/>
    <w:rsid w:val="00B5081F"/>
    <w:rsid w:val="00B515C3"/>
    <w:rsid w:val="00B5234B"/>
    <w:rsid w:val="00B52697"/>
    <w:rsid w:val="00B55B09"/>
    <w:rsid w:val="00B61EA8"/>
    <w:rsid w:val="00B6450D"/>
    <w:rsid w:val="00B66D23"/>
    <w:rsid w:val="00B67C40"/>
    <w:rsid w:val="00B731AE"/>
    <w:rsid w:val="00B73F71"/>
    <w:rsid w:val="00B74CCA"/>
    <w:rsid w:val="00B75F1B"/>
    <w:rsid w:val="00B767AE"/>
    <w:rsid w:val="00B80E96"/>
    <w:rsid w:val="00B82CAC"/>
    <w:rsid w:val="00B8344A"/>
    <w:rsid w:val="00B84DE0"/>
    <w:rsid w:val="00B85AE2"/>
    <w:rsid w:val="00B90EB0"/>
    <w:rsid w:val="00B91378"/>
    <w:rsid w:val="00B92EE6"/>
    <w:rsid w:val="00B9347F"/>
    <w:rsid w:val="00B967B2"/>
    <w:rsid w:val="00B96AEA"/>
    <w:rsid w:val="00BA0B16"/>
    <w:rsid w:val="00BA11E8"/>
    <w:rsid w:val="00BA15BF"/>
    <w:rsid w:val="00BA2AFA"/>
    <w:rsid w:val="00BA38B8"/>
    <w:rsid w:val="00BA3AAB"/>
    <w:rsid w:val="00BA58D7"/>
    <w:rsid w:val="00BA61E8"/>
    <w:rsid w:val="00BA7551"/>
    <w:rsid w:val="00BA7B5D"/>
    <w:rsid w:val="00BB06B6"/>
    <w:rsid w:val="00BB1C38"/>
    <w:rsid w:val="00BB6608"/>
    <w:rsid w:val="00BC1599"/>
    <w:rsid w:val="00BC1EA4"/>
    <w:rsid w:val="00BC2650"/>
    <w:rsid w:val="00BC399A"/>
    <w:rsid w:val="00BC3F1E"/>
    <w:rsid w:val="00BC404C"/>
    <w:rsid w:val="00BC5182"/>
    <w:rsid w:val="00BC6E4E"/>
    <w:rsid w:val="00BD0282"/>
    <w:rsid w:val="00BD1586"/>
    <w:rsid w:val="00BD2393"/>
    <w:rsid w:val="00BD439D"/>
    <w:rsid w:val="00BD443F"/>
    <w:rsid w:val="00BD53C9"/>
    <w:rsid w:val="00BD5A5D"/>
    <w:rsid w:val="00BE0685"/>
    <w:rsid w:val="00BE0981"/>
    <w:rsid w:val="00BE3EEA"/>
    <w:rsid w:val="00BE481D"/>
    <w:rsid w:val="00BE6AB5"/>
    <w:rsid w:val="00BF129E"/>
    <w:rsid w:val="00BF67D4"/>
    <w:rsid w:val="00BF7F18"/>
    <w:rsid w:val="00BF7F30"/>
    <w:rsid w:val="00C00755"/>
    <w:rsid w:val="00C00781"/>
    <w:rsid w:val="00C00E7A"/>
    <w:rsid w:val="00C01514"/>
    <w:rsid w:val="00C02C9C"/>
    <w:rsid w:val="00C03498"/>
    <w:rsid w:val="00C03E2A"/>
    <w:rsid w:val="00C040AF"/>
    <w:rsid w:val="00C05680"/>
    <w:rsid w:val="00C12C78"/>
    <w:rsid w:val="00C147BE"/>
    <w:rsid w:val="00C161AC"/>
    <w:rsid w:val="00C1643E"/>
    <w:rsid w:val="00C171A3"/>
    <w:rsid w:val="00C1728E"/>
    <w:rsid w:val="00C17F22"/>
    <w:rsid w:val="00C213DE"/>
    <w:rsid w:val="00C217C5"/>
    <w:rsid w:val="00C219C6"/>
    <w:rsid w:val="00C2394A"/>
    <w:rsid w:val="00C23F27"/>
    <w:rsid w:val="00C24835"/>
    <w:rsid w:val="00C2657E"/>
    <w:rsid w:val="00C34619"/>
    <w:rsid w:val="00C35FB6"/>
    <w:rsid w:val="00C366A3"/>
    <w:rsid w:val="00C36A95"/>
    <w:rsid w:val="00C37112"/>
    <w:rsid w:val="00C40D37"/>
    <w:rsid w:val="00C412C5"/>
    <w:rsid w:val="00C41759"/>
    <w:rsid w:val="00C420F3"/>
    <w:rsid w:val="00C42B87"/>
    <w:rsid w:val="00C438FA"/>
    <w:rsid w:val="00C44869"/>
    <w:rsid w:val="00C460F0"/>
    <w:rsid w:val="00C47452"/>
    <w:rsid w:val="00C474B9"/>
    <w:rsid w:val="00C4762B"/>
    <w:rsid w:val="00C47CE2"/>
    <w:rsid w:val="00C50E19"/>
    <w:rsid w:val="00C51F52"/>
    <w:rsid w:val="00C52331"/>
    <w:rsid w:val="00C5305C"/>
    <w:rsid w:val="00C538DB"/>
    <w:rsid w:val="00C53B89"/>
    <w:rsid w:val="00C55775"/>
    <w:rsid w:val="00C55A7A"/>
    <w:rsid w:val="00C56327"/>
    <w:rsid w:val="00C56E50"/>
    <w:rsid w:val="00C57352"/>
    <w:rsid w:val="00C57923"/>
    <w:rsid w:val="00C610D9"/>
    <w:rsid w:val="00C62F58"/>
    <w:rsid w:val="00C634B4"/>
    <w:rsid w:val="00C635B2"/>
    <w:rsid w:val="00C636ED"/>
    <w:rsid w:val="00C648FC"/>
    <w:rsid w:val="00C6514A"/>
    <w:rsid w:val="00C6530A"/>
    <w:rsid w:val="00C65BFD"/>
    <w:rsid w:val="00C65FE8"/>
    <w:rsid w:val="00C710B2"/>
    <w:rsid w:val="00C7256C"/>
    <w:rsid w:val="00C7521B"/>
    <w:rsid w:val="00C76170"/>
    <w:rsid w:val="00C771EB"/>
    <w:rsid w:val="00C77519"/>
    <w:rsid w:val="00C80301"/>
    <w:rsid w:val="00C80AEE"/>
    <w:rsid w:val="00C838E5"/>
    <w:rsid w:val="00C83C6B"/>
    <w:rsid w:val="00C85D43"/>
    <w:rsid w:val="00C85E64"/>
    <w:rsid w:val="00C86557"/>
    <w:rsid w:val="00C86AC7"/>
    <w:rsid w:val="00C879CB"/>
    <w:rsid w:val="00C9081E"/>
    <w:rsid w:val="00C92115"/>
    <w:rsid w:val="00C92FCD"/>
    <w:rsid w:val="00C95B93"/>
    <w:rsid w:val="00C97294"/>
    <w:rsid w:val="00C972B7"/>
    <w:rsid w:val="00CA0B8D"/>
    <w:rsid w:val="00CA19C1"/>
    <w:rsid w:val="00CA20E7"/>
    <w:rsid w:val="00CA21AA"/>
    <w:rsid w:val="00CA32CB"/>
    <w:rsid w:val="00CA4689"/>
    <w:rsid w:val="00CA6D99"/>
    <w:rsid w:val="00CB02E9"/>
    <w:rsid w:val="00CB2802"/>
    <w:rsid w:val="00CB32CE"/>
    <w:rsid w:val="00CB481F"/>
    <w:rsid w:val="00CB4CCA"/>
    <w:rsid w:val="00CB4FFF"/>
    <w:rsid w:val="00CB625F"/>
    <w:rsid w:val="00CB6DC0"/>
    <w:rsid w:val="00CB7CC9"/>
    <w:rsid w:val="00CC0C08"/>
    <w:rsid w:val="00CC1429"/>
    <w:rsid w:val="00CC17BB"/>
    <w:rsid w:val="00CC1C70"/>
    <w:rsid w:val="00CC2A59"/>
    <w:rsid w:val="00CC47F8"/>
    <w:rsid w:val="00CC5F24"/>
    <w:rsid w:val="00CC5FFF"/>
    <w:rsid w:val="00CC6C8C"/>
    <w:rsid w:val="00CD0850"/>
    <w:rsid w:val="00CD1C5D"/>
    <w:rsid w:val="00CD7049"/>
    <w:rsid w:val="00CE1CEB"/>
    <w:rsid w:val="00CE2435"/>
    <w:rsid w:val="00CE2546"/>
    <w:rsid w:val="00CE2632"/>
    <w:rsid w:val="00CE4661"/>
    <w:rsid w:val="00CE4EDE"/>
    <w:rsid w:val="00CE505E"/>
    <w:rsid w:val="00CE6BDE"/>
    <w:rsid w:val="00CF0970"/>
    <w:rsid w:val="00CF0BE4"/>
    <w:rsid w:val="00CF1455"/>
    <w:rsid w:val="00CF57C0"/>
    <w:rsid w:val="00CF757B"/>
    <w:rsid w:val="00CF77D6"/>
    <w:rsid w:val="00D0176C"/>
    <w:rsid w:val="00D01C45"/>
    <w:rsid w:val="00D02245"/>
    <w:rsid w:val="00D0250C"/>
    <w:rsid w:val="00D02C8F"/>
    <w:rsid w:val="00D05638"/>
    <w:rsid w:val="00D0658B"/>
    <w:rsid w:val="00D1098E"/>
    <w:rsid w:val="00D111D4"/>
    <w:rsid w:val="00D132E4"/>
    <w:rsid w:val="00D14A75"/>
    <w:rsid w:val="00D14E9D"/>
    <w:rsid w:val="00D14F04"/>
    <w:rsid w:val="00D15D1F"/>
    <w:rsid w:val="00D16331"/>
    <w:rsid w:val="00D17287"/>
    <w:rsid w:val="00D17493"/>
    <w:rsid w:val="00D239F7"/>
    <w:rsid w:val="00D2452C"/>
    <w:rsid w:val="00D25FA1"/>
    <w:rsid w:val="00D26442"/>
    <w:rsid w:val="00D26BEA"/>
    <w:rsid w:val="00D27B34"/>
    <w:rsid w:val="00D30448"/>
    <w:rsid w:val="00D315D2"/>
    <w:rsid w:val="00D319C9"/>
    <w:rsid w:val="00D323EE"/>
    <w:rsid w:val="00D32435"/>
    <w:rsid w:val="00D35C29"/>
    <w:rsid w:val="00D37318"/>
    <w:rsid w:val="00D40CE0"/>
    <w:rsid w:val="00D413BE"/>
    <w:rsid w:val="00D4145C"/>
    <w:rsid w:val="00D42D6B"/>
    <w:rsid w:val="00D44A03"/>
    <w:rsid w:val="00D453F6"/>
    <w:rsid w:val="00D456E7"/>
    <w:rsid w:val="00D456FB"/>
    <w:rsid w:val="00D45CC6"/>
    <w:rsid w:val="00D464B6"/>
    <w:rsid w:val="00D46B19"/>
    <w:rsid w:val="00D46BA7"/>
    <w:rsid w:val="00D46ED2"/>
    <w:rsid w:val="00D51155"/>
    <w:rsid w:val="00D51441"/>
    <w:rsid w:val="00D51DCB"/>
    <w:rsid w:val="00D52D5F"/>
    <w:rsid w:val="00D52E74"/>
    <w:rsid w:val="00D541A0"/>
    <w:rsid w:val="00D549E8"/>
    <w:rsid w:val="00D553C4"/>
    <w:rsid w:val="00D55476"/>
    <w:rsid w:val="00D55B61"/>
    <w:rsid w:val="00D563E3"/>
    <w:rsid w:val="00D56E00"/>
    <w:rsid w:val="00D56EEC"/>
    <w:rsid w:val="00D6007D"/>
    <w:rsid w:val="00D601E5"/>
    <w:rsid w:val="00D60204"/>
    <w:rsid w:val="00D6039C"/>
    <w:rsid w:val="00D60E61"/>
    <w:rsid w:val="00D63DCD"/>
    <w:rsid w:val="00D643AB"/>
    <w:rsid w:val="00D6492F"/>
    <w:rsid w:val="00D6569C"/>
    <w:rsid w:val="00D66239"/>
    <w:rsid w:val="00D66272"/>
    <w:rsid w:val="00D66CBF"/>
    <w:rsid w:val="00D66E6B"/>
    <w:rsid w:val="00D67B64"/>
    <w:rsid w:val="00D706F1"/>
    <w:rsid w:val="00D71C03"/>
    <w:rsid w:val="00D75577"/>
    <w:rsid w:val="00D76CAB"/>
    <w:rsid w:val="00D808D4"/>
    <w:rsid w:val="00D80FBA"/>
    <w:rsid w:val="00D8110E"/>
    <w:rsid w:val="00D83088"/>
    <w:rsid w:val="00D8336B"/>
    <w:rsid w:val="00D83522"/>
    <w:rsid w:val="00D83A68"/>
    <w:rsid w:val="00D87496"/>
    <w:rsid w:val="00D87724"/>
    <w:rsid w:val="00D877B0"/>
    <w:rsid w:val="00D87B36"/>
    <w:rsid w:val="00D9036E"/>
    <w:rsid w:val="00D90647"/>
    <w:rsid w:val="00D91966"/>
    <w:rsid w:val="00D92140"/>
    <w:rsid w:val="00D92D79"/>
    <w:rsid w:val="00D93516"/>
    <w:rsid w:val="00D93F61"/>
    <w:rsid w:val="00D94981"/>
    <w:rsid w:val="00D94DB5"/>
    <w:rsid w:val="00D95363"/>
    <w:rsid w:val="00D9598E"/>
    <w:rsid w:val="00D96033"/>
    <w:rsid w:val="00D9634B"/>
    <w:rsid w:val="00DA088D"/>
    <w:rsid w:val="00DA0A8E"/>
    <w:rsid w:val="00DA2499"/>
    <w:rsid w:val="00DA3E4D"/>
    <w:rsid w:val="00DA494F"/>
    <w:rsid w:val="00DA4EC5"/>
    <w:rsid w:val="00DA565F"/>
    <w:rsid w:val="00DA61FB"/>
    <w:rsid w:val="00DA698B"/>
    <w:rsid w:val="00DA6B4F"/>
    <w:rsid w:val="00DA6E3C"/>
    <w:rsid w:val="00DB0C8C"/>
    <w:rsid w:val="00DB16CD"/>
    <w:rsid w:val="00DB42C3"/>
    <w:rsid w:val="00DB51A7"/>
    <w:rsid w:val="00DB54CA"/>
    <w:rsid w:val="00DC19B6"/>
    <w:rsid w:val="00DC219C"/>
    <w:rsid w:val="00DC4055"/>
    <w:rsid w:val="00DC4483"/>
    <w:rsid w:val="00DC4732"/>
    <w:rsid w:val="00DC62D4"/>
    <w:rsid w:val="00DC741F"/>
    <w:rsid w:val="00DD0104"/>
    <w:rsid w:val="00DD1673"/>
    <w:rsid w:val="00DD2265"/>
    <w:rsid w:val="00DD232F"/>
    <w:rsid w:val="00DD256A"/>
    <w:rsid w:val="00DD2A5F"/>
    <w:rsid w:val="00DD30AC"/>
    <w:rsid w:val="00DD4365"/>
    <w:rsid w:val="00DD46FD"/>
    <w:rsid w:val="00DD4FAA"/>
    <w:rsid w:val="00DD55A2"/>
    <w:rsid w:val="00DD6064"/>
    <w:rsid w:val="00DD7E33"/>
    <w:rsid w:val="00DE0185"/>
    <w:rsid w:val="00DE14EB"/>
    <w:rsid w:val="00DE1655"/>
    <w:rsid w:val="00DE3B66"/>
    <w:rsid w:val="00DE4C88"/>
    <w:rsid w:val="00DE6EC3"/>
    <w:rsid w:val="00DE7C4F"/>
    <w:rsid w:val="00DF050A"/>
    <w:rsid w:val="00DF1055"/>
    <w:rsid w:val="00DF34B9"/>
    <w:rsid w:val="00DF4208"/>
    <w:rsid w:val="00DF5431"/>
    <w:rsid w:val="00DF6CE1"/>
    <w:rsid w:val="00DF77F3"/>
    <w:rsid w:val="00DF7D3C"/>
    <w:rsid w:val="00E00E9B"/>
    <w:rsid w:val="00E01253"/>
    <w:rsid w:val="00E0270F"/>
    <w:rsid w:val="00E03E75"/>
    <w:rsid w:val="00E10219"/>
    <w:rsid w:val="00E10D2F"/>
    <w:rsid w:val="00E10F7E"/>
    <w:rsid w:val="00E11879"/>
    <w:rsid w:val="00E1193B"/>
    <w:rsid w:val="00E128E6"/>
    <w:rsid w:val="00E1361A"/>
    <w:rsid w:val="00E1420D"/>
    <w:rsid w:val="00E1596E"/>
    <w:rsid w:val="00E15D84"/>
    <w:rsid w:val="00E160FB"/>
    <w:rsid w:val="00E17B1D"/>
    <w:rsid w:val="00E20C5B"/>
    <w:rsid w:val="00E21C7B"/>
    <w:rsid w:val="00E22D52"/>
    <w:rsid w:val="00E230FF"/>
    <w:rsid w:val="00E2314A"/>
    <w:rsid w:val="00E23756"/>
    <w:rsid w:val="00E23A55"/>
    <w:rsid w:val="00E23F96"/>
    <w:rsid w:val="00E25D13"/>
    <w:rsid w:val="00E265FD"/>
    <w:rsid w:val="00E326EA"/>
    <w:rsid w:val="00E331AB"/>
    <w:rsid w:val="00E347BB"/>
    <w:rsid w:val="00E34891"/>
    <w:rsid w:val="00E34ABA"/>
    <w:rsid w:val="00E35E74"/>
    <w:rsid w:val="00E36D7A"/>
    <w:rsid w:val="00E37A24"/>
    <w:rsid w:val="00E37F99"/>
    <w:rsid w:val="00E4009D"/>
    <w:rsid w:val="00E41BC9"/>
    <w:rsid w:val="00E46146"/>
    <w:rsid w:val="00E463BD"/>
    <w:rsid w:val="00E46DC2"/>
    <w:rsid w:val="00E476EB"/>
    <w:rsid w:val="00E52600"/>
    <w:rsid w:val="00E52D26"/>
    <w:rsid w:val="00E52E86"/>
    <w:rsid w:val="00E53920"/>
    <w:rsid w:val="00E53A52"/>
    <w:rsid w:val="00E54702"/>
    <w:rsid w:val="00E54E17"/>
    <w:rsid w:val="00E57798"/>
    <w:rsid w:val="00E621DB"/>
    <w:rsid w:val="00E6287A"/>
    <w:rsid w:val="00E630B6"/>
    <w:rsid w:val="00E64D2D"/>
    <w:rsid w:val="00E656F2"/>
    <w:rsid w:val="00E662CA"/>
    <w:rsid w:val="00E6696B"/>
    <w:rsid w:val="00E71464"/>
    <w:rsid w:val="00E71863"/>
    <w:rsid w:val="00E71F96"/>
    <w:rsid w:val="00E72FBC"/>
    <w:rsid w:val="00E73942"/>
    <w:rsid w:val="00E73B18"/>
    <w:rsid w:val="00E74A60"/>
    <w:rsid w:val="00E75289"/>
    <w:rsid w:val="00E759C8"/>
    <w:rsid w:val="00E77B1E"/>
    <w:rsid w:val="00E77D26"/>
    <w:rsid w:val="00E8167D"/>
    <w:rsid w:val="00E8173E"/>
    <w:rsid w:val="00E82BB4"/>
    <w:rsid w:val="00E82F8D"/>
    <w:rsid w:val="00E84220"/>
    <w:rsid w:val="00E84590"/>
    <w:rsid w:val="00E84DCD"/>
    <w:rsid w:val="00E900AD"/>
    <w:rsid w:val="00E91202"/>
    <w:rsid w:val="00E91378"/>
    <w:rsid w:val="00E916A2"/>
    <w:rsid w:val="00E91ED2"/>
    <w:rsid w:val="00E9350F"/>
    <w:rsid w:val="00E957C0"/>
    <w:rsid w:val="00E96294"/>
    <w:rsid w:val="00E96B4C"/>
    <w:rsid w:val="00E97F9D"/>
    <w:rsid w:val="00EA27B6"/>
    <w:rsid w:val="00EA308B"/>
    <w:rsid w:val="00EA340D"/>
    <w:rsid w:val="00EA35EC"/>
    <w:rsid w:val="00EA37A3"/>
    <w:rsid w:val="00EA44A6"/>
    <w:rsid w:val="00EB27D8"/>
    <w:rsid w:val="00EB453A"/>
    <w:rsid w:val="00EB6BB8"/>
    <w:rsid w:val="00EB7469"/>
    <w:rsid w:val="00EC15B7"/>
    <w:rsid w:val="00EC3C3D"/>
    <w:rsid w:val="00EC4690"/>
    <w:rsid w:val="00EC4D4D"/>
    <w:rsid w:val="00EC4ED2"/>
    <w:rsid w:val="00EC55A8"/>
    <w:rsid w:val="00EC6326"/>
    <w:rsid w:val="00EC72D8"/>
    <w:rsid w:val="00EC7B20"/>
    <w:rsid w:val="00ED1631"/>
    <w:rsid w:val="00ED1928"/>
    <w:rsid w:val="00ED50CE"/>
    <w:rsid w:val="00ED68D1"/>
    <w:rsid w:val="00EE07B6"/>
    <w:rsid w:val="00EE0802"/>
    <w:rsid w:val="00EE2383"/>
    <w:rsid w:val="00EE4659"/>
    <w:rsid w:val="00EE4A3F"/>
    <w:rsid w:val="00EE528A"/>
    <w:rsid w:val="00EE548F"/>
    <w:rsid w:val="00EE57F5"/>
    <w:rsid w:val="00EE5FDC"/>
    <w:rsid w:val="00EE6909"/>
    <w:rsid w:val="00EE6AD6"/>
    <w:rsid w:val="00EE70F3"/>
    <w:rsid w:val="00EF2F7A"/>
    <w:rsid w:val="00EF2FA6"/>
    <w:rsid w:val="00EF3250"/>
    <w:rsid w:val="00EF3FF9"/>
    <w:rsid w:val="00EF5DC2"/>
    <w:rsid w:val="00EF5E9C"/>
    <w:rsid w:val="00EF642C"/>
    <w:rsid w:val="00EF77FC"/>
    <w:rsid w:val="00F00671"/>
    <w:rsid w:val="00F01159"/>
    <w:rsid w:val="00F0271E"/>
    <w:rsid w:val="00F047E1"/>
    <w:rsid w:val="00F04C18"/>
    <w:rsid w:val="00F06EFE"/>
    <w:rsid w:val="00F102DF"/>
    <w:rsid w:val="00F104C3"/>
    <w:rsid w:val="00F1094B"/>
    <w:rsid w:val="00F10B2B"/>
    <w:rsid w:val="00F11B24"/>
    <w:rsid w:val="00F11FF7"/>
    <w:rsid w:val="00F12DF4"/>
    <w:rsid w:val="00F14C17"/>
    <w:rsid w:val="00F200B5"/>
    <w:rsid w:val="00F21D0D"/>
    <w:rsid w:val="00F22083"/>
    <w:rsid w:val="00F22422"/>
    <w:rsid w:val="00F22744"/>
    <w:rsid w:val="00F22FF1"/>
    <w:rsid w:val="00F23F22"/>
    <w:rsid w:val="00F250F7"/>
    <w:rsid w:val="00F262A1"/>
    <w:rsid w:val="00F26842"/>
    <w:rsid w:val="00F26BBF"/>
    <w:rsid w:val="00F26D35"/>
    <w:rsid w:val="00F2738A"/>
    <w:rsid w:val="00F27B0C"/>
    <w:rsid w:val="00F3044C"/>
    <w:rsid w:val="00F30DE1"/>
    <w:rsid w:val="00F32D94"/>
    <w:rsid w:val="00F33132"/>
    <w:rsid w:val="00F34AAE"/>
    <w:rsid w:val="00F34CE7"/>
    <w:rsid w:val="00F36472"/>
    <w:rsid w:val="00F37271"/>
    <w:rsid w:val="00F43698"/>
    <w:rsid w:val="00F443C8"/>
    <w:rsid w:val="00F44FE1"/>
    <w:rsid w:val="00F45A49"/>
    <w:rsid w:val="00F45F3A"/>
    <w:rsid w:val="00F46E15"/>
    <w:rsid w:val="00F50839"/>
    <w:rsid w:val="00F51068"/>
    <w:rsid w:val="00F51A65"/>
    <w:rsid w:val="00F51B4A"/>
    <w:rsid w:val="00F521A4"/>
    <w:rsid w:val="00F55EA4"/>
    <w:rsid w:val="00F5689F"/>
    <w:rsid w:val="00F578AA"/>
    <w:rsid w:val="00F63DBB"/>
    <w:rsid w:val="00F643F2"/>
    <w:rsid w:val="00F65FA3"/>
    <w:rsid w:val="00F67C9E"/>
    <w:rsid w:val="00F7002C"/>
    <w:rsid w:val="00F708A1"/>
    <w:rsid w:val="00F70B6C"/>
    <w:rsid w:val="00F70C68"/>
    <w:rsid w:val="00F718E0"/>
    <w:rsid w:val="00F72433"/>
    <w:rsid w:val="00F724EB"/>
    <w:rsid w:val="00F7280A"/>
    <w:rsid w:val="00F728F6"/>
    <w:rsid w:val="00F7391C"/>
    <w:rsid w:val="00F74082"/>
    <w:rsid w:val="00F74B0E"/>
    <w:rsid w:val="00F74B23"/>
    <w:rsid w:val="00F7513D"/>
    <w:rsid w:val="00F76497"/>
    <w:rsid w:val="00F81B9F"/>
    <w:rsid w:val="00F82C9F"/>
    <w:rsid w:val="00F82F15"/>
    <w:rsid w:val="00F83DEE"/>
    <w:rsid w:val="00F84D20"/>
    <w:rsid w:val="00F84EF9"/>
    <w:rsid w:val="00F84FC6"/>
    <w:rsid w:val="00F85E2F"/>
    <w:rsid w:val="00F876BC"/>
    <w:rsid w:val="00F8794B"/>
    <w:rsid w:val="00F91204"/>
    <w:rsid w:val="00F91273"/>
    <w:rsid w:val="00F92C1A"/>
    <w:rsid w:val="00F94544"/>
    <w:rsid w:val="00F95AD1"/>
    <w:rsid w:val="00F968A0"/>
    <w:rsid w:val="00F96FE0"/>
    <w:rsid w:val="00FA00E5"/>
    <w:rsid w:val="00FA04A0"/>
    <w:rsid w:val="00FA099B"/>
    <w:rsid w:val="00FA17A9"/>
    <w:rsid w:val="00FA4951"/>
    <w:rsid w:val="00FA4BCA"/>
    <w:rsid w:val="00FA50D6"/>
    <w:rsid w:val="00FA55B7"/>
    <w:rsid w:val="00FA629C"/>
    <w:rsid w:val="00FA64AF"/>
    <w:rsid w:val="00FA692E"/>
    <w:rsid w:val="00FA72E3"/>
    <w:rsid w:val="00FB0C32"/>
    <w:rsid w:val="00FB1087"/>
    <w:rsid w:val="00FB2EAD"/>
    <w:rsid w:val="00FB3278"/>
    <w:rsid w:val="00FB3409"/>
    <w:rsid w:val="00FB40E5"/>
    <w:rsid w:val="00FB5001"/>
    <w:rsid w:val="00FB59AA"/>
    <w:rsid w:val="00FB6177"/>
    <w:rsid w:val="00FB655D"/>
    <w:rsid w:val="00FB6A23"/>
    <w:rsid w:val="00FB7E71"/>
    <w:rsid w:val="00FC085F"/>
    <w:rsid w:val="00FC1406"/>
    <w:rsid w:val="00FC147F"/>
    <w:rsid w:val="00FC2AC8"/>
    <w:rsid w:val="00FC2F8B"/>
    <w:rsid w:val="00FC31C7"/>
    <w:rsid w:val="00FC48BB"/>
    <w:rsid w:val="00FC5B21"/>
    <w:rsid w:val="00FC61E1"/>
    <w:rsid w:val="00FC6504"/>
    <w:rsid w:val="00FC6E3E"/>
    <w:rsid w:val="00FC78DD"/>
    <w:rsid w:val="00FD15EB"/>
    <w:rsid w:val="00FD5C37"/>
    <w:rsid w:val="00FD6AE7"/>
    <w:rsid w:val="00FD6B71"/>
    <w:rsid w:val="00FE386B"/>
    <w:rsid w:val="00FE3DD1"/>
    <w:rsid w:val="00FE3E16"/>
    <w:rsid w:val="00FE3FE8"/>
    <w:rsid w:val="00FE5311"/>
    <w:rsid w:val="00FE6910"/>
    <w:rsid w:val="00FE7C2D"/>
    <w:rsid w:val="00FE7E4D"/>
    <w:rsid w:val="00FF1745"/>
    <w:rsid w:val="00FF1EFF"/>
    <w:rsid w:val="00FF36F2"/>
    <w:rsid w:val="00FF72CD"/>
    <w:rsid w:val="00FF7BBF"/>
    <w:rsid w:val="00FF7BE7"/>
    <w:rsid w:val="00FF7C46"/>
    <w:rsid w:val="00FF7D4D"/>
    <w:rsid w:val="0B30D6CE"/>
    <w:rsid w:val="0C05086A"/>
    <w:rsid w:val="0C42BE3F"/>
    <w:rsid w:val="13844C7C"/>
    <w:rsid w:val="13B0A3B6"/>
    <w:rsid w:val="1D4BE03C"/>
    <w:rsid w:val="20694C4B"/>
    <w:rsid w:val="23C0A755"/>
    <w:rsid w:val="23FA0A87"/>
    <w:rsid w:val="25AA4C00"/>
    <w:rsid w:val="2D853B30"/>
    <w:rsid w:val="2FD7E7D8"/>
    <w:rsid w:val="34DD3625"/>
    <w:rsid w:val="3913CABB"/>
    <w:rsid w:val="3A1EEB55"/>
    <w:rsid w:val="3CE958CE"/>
    <w:rsid w:val="405D0231"/>
    <w:rsid w:val="43D96A7E"/>
    <w:rsid w:val="4B6213F6"/>
    <w:rsid w:val="4DB7C23E"/>
    <w:rsid w:val="4E765589"/>
    <w:rsid w:val="502F3205"/>
    <w:rsid w:val="507647DD"/>
    <w:rsid w:val="5502FCFB"/>
    <w:rsid w:val="56943B47"/>
    <w:rsid w:val="584180E5"/>
    <w:rsid w:val="58F9DBC4"/>
    <w:rsid w:val="5A31F9ED"/>
    <w:rsid w:val="5B031083"/>
    <w:rsid w:val="5CBDB0ED"/>
    <w:rsid w:val="5E6BE5A1"/>
    <w:rsid w:val="5F5D2A53"/>
    <w:rsid w:val="6234D1DD"/>
    <w:rsid w:val="62C9309C"/>
    <w:rsid w:val="62FDB768"/>
    <w:rsid w:val="63DE2B5D"/>
    <w:rsid w:val="64BED7C9"/>
    <w:rsid w:val="64CEC192"/>
    <w:rsid w:val="6710F2CB"/>
    <w:rsid w:val="6754AE05"/>
    <w:rsid w:val="6785B11A"/>
    <w:rsid w:val="697E4E5A"/>
    <w:rsid w:val="6D49B020"/>
    <w:rsid w:val="6DCFC100"/>
    <w:rsid w:val="6E2A1823"/>
    <w:rsid w:val="6E8EC8AD"/>
    <w:rsid w:val="70802C36"/>
    <w:rsid w:val="72325119"/>
    <w:rsid w:val="727E7406"/>
    <w:rsid w:val="74515A1A"/>
    <w:rsid w:val="79BD8D02"/>
    <w:rsid w:val="7ABC2B81"/>
    <w:rsid w:val="7AFD027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AD6AE"/>
  <w15:docId w15:val="{7C5CC3BB-E1ED-4B3E-9BD1-9E6AC094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0F60"/>
  </w:style>
  <w:style w:type="paragraph" w:styleId="Nagwek1">
    <w:name w:val="heading 1"/>
    <w:aliases w:val="EDPB heading 1"/>
    <w:basedOn w:val="Normalny"/>
    <w:next w:val="Normalny"/>
    <w:link w:val="Nagwek1Znak"/>
    <w:uiPriority w:val="9"/>
    <w:qFormat/>
    <w:rsid w:val="00CF0BE4"/>
    <w:pPr>
      <w:keepNext/>
      <w:keepLines/>
      <w:numPr>
        <w:numId w:val="2"/>
      </w:numPr>
      <w:spacing w:before="360" w:after="240"/>
      <w:outlineLvl w:val="0"/>
    </w:pPr>
    <w:rPr>
      <w:rFonts w:asciiTheme="majorHAnsi" w:eastAsiaTheme="majorEastAsia" w:hAnsiTheme="majorHAnsi" w:cstheme="majorBidi"/>
      <w:caps/>
      <w:color w:val="2E74B5" w:themeColor="accent1" w:themeShade="BF"/>
      <w:sz w:val="32"/>
    </w:rPr>
  </w:style>
  <w:style w:type="paragraph" w:styleId="Nagwek2">
    <w:name w:val="heading 2"/>
    <w:aliases w:val="EDPB Heading 2"/>
    <w:basedOn w:val="Normalny"/>
    <w:next w:val="Normalny"/>
    <w:link w:val="Nagwek2Znak"/>
    <w:uiPriority w:val="9"/>
    <w:unhideWhenUsed/>
    <w:qFormat/>
    <w:rsid w:val="00F50839"/>
    <w:pPr>
      <w:numPr>
        <w:ilvl w:val="1"/>
        <w:numId w:val="2"/>
      </w:numPr>
      <w:spacing w:before="240" w:after="120"/>
      <w:ind w:left="578" w:hanging="578"/>
      <w:outlineLvl w:val="1"/>
    </w:pPr>
    <w:rPr>
      <w:rFonts w:asciiTheme="majorHAnsi" w:eastAsiaTheme="majorEastAsia" w:hAnsiTheme="majorHAnsi" w:cstheme="majorBidi"/>
      <w:color w:val="2E74B5" w:themeColor="accent1" w:themeShade="BF"/>
      <w:sz w:val="26"/>
    </w:rPr>
  </w:style>
  <w:style w:type="paragraph" w:styleId="Nagwek3">
    <w:name w:val="heading 3"/>
    <w:aliases w:val="EDPB Heading 3"/>
    <w:basedOn w:val="Normalny"/>
    <w:next w:val="Normalny"/>
    <w:link w:val="Nagwek3Znak"/>
    <w:uiPriority w:val="9"/>
    <w:unhideWhenUsed/>
    <w:qFormat/>
    <w:rsid w:val="00F50839"/>
    <w:pPr>
      <w:keepNext/>
      <w:keepLines/>
      <w:numPr>
        <w:ilvl w:val="2"/>
        <w:numId w:val="2"/>
      </w:numPr>
      <w:spacing w:before="240" w:after="120"/>
      <w:outlineLvl w:val="2"/>
    </w:pPr>
    <w:rPr>
      <w:rFonts w:asciiTheme="majorHAnsi" w:eastAsiaTheme="majorEastAsia" w:hAnsiTheme="majorHAnsi" w:cstheme="majorBidi"/>
      <w:color w:val="1F4D78" w:themeColor="accent1" w:themeShade="7F"/>
      <w:sz w:val="24"/>
    </w:rPr>
  </w:style>
  <w:style w:type="paragraph" w:styleId="Nagwek4">
    <w:name w:val="heading 4"/>
    <w:aliases w:val="EDPB Heading 4"/>
    <w:basedOn w:val="Normalny"/>
    <w:next w:val="NumberedParagraph"/>
    <w:link w:val="Nagwek4Znak"/>
    <w:uiPriority w:val="9"/>
    <w:unhideWhenUsed/>
    <w:qFormat/>
    <w:rsid w:val="004F1C54"/>
    <w:pPr>
      <w:keepNext/>
      <w:keepLines/>
      <w:numPr>
        <w:ilvl w:val="3"/>
        <w:numId w:val="2"/>
      </w:numPr>
      <w:spacing w:before="40" w:after="0"/>
      <w:outlineLvl w:val="3"/>
    </w:pPr>
    <w:rPr>
      <w:rFonts w:asciiTheme="majorHAnsi" w:eastAsiaTheme="majorEastAsia" w:hAnsiTheme="majorHAnsi" w:cstheme="majorBidi"/>
      <w:i/>
      <w:color w:val="1F4E79" w:themeColor="accent1" w:themeShade="80"/>
    </w:rPr>
  </w:style>
  <w:style w:type="paragraph" w:styleId="Nagwek5">
    <w:name w:val="heading 5"/>
    <w:basedOn w:val="Normalny"/>
    <w:next w:val="Normalny"/>
    <w:link w:val="Nagwek5Znak"/>
    <w:uiPriority w:val="9"/>
    <w:semiHidden/>
    <w:unhideWhenUsed/>
    <w:qFormat/>
    <w:rsid w:val="00F7002C"/>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F7002C"/>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F7002C"/>
    <w:pPr>
      <w:keepNext/>
      <w:keepLines/>
      <w:numPr>
        <w:ilvl w:val="6"/>
        <w:numId w:val="2"/>
      </w:numPr>
      <w:spacing w:before="40" w:after="0"/>
      <w:outlineLvl w:val="6"/>
    </w:pPr>
    <w:rPr>
      <w:rFonts w:asciiTheme="majorHAnsi" w:eastAsiaTheme="majorEastAsia" w:hAnsiTheme="majorHAnsi" w:cstheme="majorBidi"/>
      <w:i/>
      <w:color w:val="1F4D78" w:themeColor="accent1" w:themeShade="7F"/>
    </w:rPr>
  </w:style>
  <w:style w:type="paragraph" w:styleId="Nagwek8">
    <w:name w:val="heading 8"/>
    <w:basedOn w:val="Normalny"/>
    <w:next w:val="Normalny"/>
    <w:link w:val="Nagwek8Znak"/>
    <w:uiPriority w:val="9"/>
    <w:semiHidden/>
    <w:unhideWhenUsed/>
    <w:qFormat/>
    <w:rsid w:val="00F7002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rPr>
  </w:style>
  <w:style w:type="paragraph" w:styleId="Nagwek9">
    <w:name w:val="heading 9"/>
    <w:basedOn w:val="Normalny"/>
    <w:next w:val="Normalny"/>
    <w:link w:val="Nagwek9Znak"/>
    <w:uiPriority w:val="9"/>
    <w:semiHidden/>
    <w:unhideWhenUsed/>
    <w:qFormat/>
    <w:rsid w:val="00F7002C"/>
    <w:pPr>
      <w:keepNext/>
      <w:keepLines/>
      <w:numPr>
        <w:ilvl w:val="8"/>
        <w:numId w:val="2"/>
      </w:numPr>
      <w:spacing w:before="40" w:after="0"/>
      <w:outlineLvl w:val="8"/>
    </w:pPr>
    <w:rPr>
      <w:rFonts w:asciiTheme="majorHAnsi" w:eastAsiaTheme="majorEastAsia" w:hAnsiTheme="majorHAnsi" w:cstheme="majorBidi"/>
      <w:i/>
      <w:color w:val="272727" w:themeColor="text1" w:themeTint="D8"/>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EDPB heading 1 Znak"/>
    <w:basedOn w:val="Domylnaczcionkaakapitu"/>
    <w:link w:val="Nagwek1"/>
    <w:uiPriority w:val="9"/>
    <w:rsid w:val="00CF0BE4"/>
    <w:rPr>
      <w:rFonts w:asciiTheme="majorHAnsi" w:eastAsiaTheme="majorEastAsia" w:hAnsiTheme="majorHAnsi" w:cstheme="majorBidi"/>
      <w:caps/>
      <w:color w:val="2E74B5" w:themeColor="accent1" w:themeShade="BF"/>
      <w:sz w:val="32"/>
    </w:rPr>
  </w:style>
  <w:style w:type="table" w:styleId="Tabela-Siatka">
    <w:name w:val="Table Grid"/>
    <w:basedOn w:val="Standardowy"/>
    <w:uiPriority w:val="59"/>
    <w:rsid w:val="004D0F60"/>
    <w:pPr>
      <w:spacing w:after="0" w:line="240"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D0F60"/>
    <w:rPr>
      <w:color w:val="0563C1" w:themeColor="hyperlink"/>
      <w:u w:val="single"/>
    </w:rPr>
  </w:style>
  <w:style w:type="paragraph" w:styleId="Akapitzlist">
    <w:name w:val="List Paragraph"/>
    <w:basedOn w:val="Normalny"/>
    <w:uiPriority w:val="34"/>
    <w:qFormat/>
    <w:rsid w:val="004D0F60"/>
    <w:pPr>
      <w:spacing w:after="200" w:line="276" w:lineRule="auto"/>
      <w:ind w:left="720"/>
      <w:contextualSpacing/>
    </w:pPr>
  </w:style>
  <w:style w:type="paragraph" w:styleId="Nagwekspisutreci">
    <w:name w:val="TOC Heading"/>
    <w:basedOn w:val="Nagwek1"/>
    <w:next w:val="Normalny"/>
    <w:uiPriority w:val="39"/>
    <w:unhideWhenUsed/>
    <w:qFormat/>
    <w:rsid w:val="004D0F60"/>
    <w:pPr>
      <w:spacing w:before="480" w:line="276" w:lineRule="auto"/>
      <w:outlineLvl w:val="9"/>
    </w:pPr>
    <w:rPr>
      <w:b/>
      <w:sz w:val="28"/>
    </w:rPr>
  </w:style>
  <w:style w:type="paragraph" w:styleId="Spistreci1">
    <w:name w:val="toc 1"/>
    <w:basedOn w:val="Normalny"/>
    <w:next w:val="Normalny"/>
    <w:autoRedefine/>
    <w:uiPriority w:val="39"/>
    <w:unhideWhenUsed/>
    <w:qFormat/>
    <w:rsid w:val="004D0F60"/>
    <w:pPr>
      <w:spacing w:after="100" w:line="276" w:lineRule="auto"/>
    </w:pPr>
  </w:style>
  <w:style w:type="character" w:styleId="Odwoaniedokomentarza">
    <w:name w:val="annotation reference"/>
    <w:basedOn w:val="Domylnaczcionkaakapitu"/>
    <w:uiPriority w:val="99"/>
    <w:unhideWhenUsed/>
    <w:rsid w:val="004D0F60"/>
    <w:rPr>
      <w:sz w:val="16"/>
    </w:rPr>
  </w:style>
  <w:style w:type="paragraph" w:styleId="Tekstkomentarza">
    <w:name w:val="annotation text"/>
    <w:basedOn w:val="Normalny"/>
    <w:link w:val="TekstkomentarzaZnak"/>
    <w:uiPriority w:val="99"/>
    <w:unhideWhenUsed/>
    <w:rsid w:val="004D0F60"/>
    <w:pPr>
      <w:spacing w:line="240" w:lineRule="auto"/>
    </w:pPr>
    <w:rPr>
      <w:sz w:val="20"/>
    </w:rPr>
  </w:style>
  <w:style w:type="character" w:customStyle="1" w:styleId="TekstkomentarzaZnak">
    <w:name w:val="Tekst komentarza Znak"/>
    <w:basedOn w:val="Domylnaczcionkaakapitu"/>
    <w:link w:val="Tekstkomentarza"/>
    <w:uiPriority w:val="99"/>
    <w:rsid w:val="004D0F60"/>
    <w:rPr>
      <w:sz w:val="20"/>
    </w:rPr>
  </w:style>
  <w:style w:type="paragraph" w:styleId="Tematkomentarza">
    <w:name w:val="annotation subject"/>
    <w:basedOn w:val="Tekstkomentarza"/>
    <w:next w:val="Tekstkomentarza"/>
    <w:link w:val="TematkomentarzaZnak"/>
    <w:uiPriority w:val="99"/>
    <w:semiHidden/>
    <w:unhideWhenUsed/>
    <w:rsid w:val="004D0F60"/>
    <w:rPr>
      <w:b/>
    </w:rPr>
  </w:style>
  <w:style w:type="character" w:customStyle="1" w:styleId="TematkomentarzaZnak">
    <w:name w:val="Temat komentarza Znak"/>
    <w:basedOn w:val="TekstkomentarzaZnak"/>
    <w:link w:val="Tematkomentarza"/>
    <w:uiPriority w:val="99"/>
    <w:semiHidden/>
    <w:rsid w:val="004D0F60"/>
    <w:rPr>
      <w:b/>
      <w:sz w:val="20"/>
    </w:rPr>
  </w:style>
  <w:style w:type="paragraph" w:styleId="Tekstdymka">
    <w:name w:val="Balloon Text"/>
    <w:basedOn w:val="Normalny"/>
    <w:link w:val="TekstdymkaZnak"/>
    <w:uiPriority w:val="99"/>
    <w:semiHidden/>
    <w:unhideWhenUsed/>
    <w:rsid w:val="004D0F60"/>
    <w:pPr>
      <w:spacing w:after="0" w:line="240" w:lineRule="auto"/>
    </w:pPr>
    <w:rPr>
      <w:rFonts w:ascii="Segoe UI" w:hAnsi="Segoe UI" w:cs="Segoe UI"/>
      <w:sz w:val="18"/>
    </w:rPr>
  </w:style>
  <w:style w:type="character" w:customStyle="1" w:styleId="TekstdymkaZnak">
    <w:name w:val="Tekst dymka Znak"/>
    <w:basedOn w:val="Domylnaczcionkaakapitu"/>
    <w:link w:val="Tekstdymka"/>
    <w:uiPriority w:val="99"/>
    <w:semiHidden/>
    <w:rsid w:val="004D0F60"/>
    <w:rPr>
      <w:rFonts w:ascii="Segoe UI" w:hAnsi="Segoe UI" w:cs="Segoe UI"/>
      <w:sz w:val="18"/>
    </w:rPr>
  </w:style>
  <w:style w:type="paragraph" w:styleId="Tekstprzypisudolnego">
    <w:name w:val="footnote text"/>
    <w:basedOn w:val="Normalny"/>
    <w:link w:val="TekstprzypisudolnegoZnak"/>
    <w:uiPriority w:val="99"/>
    <w:unhideWhenUsed/>
    <w:rsid w:val="004D0F60"/>
    <w:pPr>
      <w:spacing w:after="0" w:line="240" w:lineRule="auto"/>
    </w:pPr>
    <w:rPr>
      <w:sz w:val="20"/>
    </w:rPr>
  </w:style>
  <w:style w:type="character" w:customStyle="1" w:styleId="TekstprzypisudolnegoZnak">
    <w:name w:val="Tekst przypisu dolnego Znak"/>
    <w:basedOn w:val="Domylnaczcionkaakapitu"/>
    <w:link w:val="Tekstprzypisudolnego"/>
    <w:uiPriority w:val="99"/>
    <w:rsid w:val="004D0F60"/>
    <w:rPr>
      <w:sz w:val="20"/>
    </w:rPr>
  </w:style>
  <w:style w:type="character" w:styleId="Odwoanieprzypisudolnego">
    <w:name w:val="footnote reference"/>
    <w:basedOn w:val="Domylnaczcionkaakapitu"/>
    <w:uiPriority w:val="99"/>
    <w:unhideWhenUsed/>
    <w:rsid w:val="004D0F60"/>
    <w:rPr>
      <w:vertAlign w:val="superscript"/>
    </w:rPr>
  </w:style>
  <w:style w:type="table" w:customStyle="1" w:styleId="Grilledutableau1">
    <w:name w:val="Grille du tableau1"/>
    <w:basedOn w:val="Standardowy"/>
    <w:next w:val="Tabela-Siatka"/>
    <w:uiPriority w:val="59"/>
    <w:rsid w:val="004D0F60"/>
    <w:pPr>
      <w:spacing w:after="0" w:line="240"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4D0F60"/>
    <w:rPr>
      <w:rFonts w:ascii="Times New Roman" w:hAnsi="Times New Roman" w:cs="Times New Roman" w:hint="default"/>
      <w:b w:val="0"/>
      <w:i w:val="0"/>
      <w:color w:val="000000"/>
      <w:sz w:val="24"/>
    </w:rPr>
  </w:style>
  <w:style w:type="character" w:styleId="UyteHipercze">
    <w:name w:val="FollowedHyperlink"/>
    <w:basedOn w:val="Domylnaczcionkaakapitu"/>
    <w:uiPriority w:val="99"/>
    <w:semiHidden/>
    <w:unhideWhenUsed/>
    <w:rsid w:val="004D0F60"/>
    <w:rPr>
      <w:color w:val="954F72" w:themeColor="followedHyperlink"/>
      <w:u w:val="single"/>
    </w:rPr>
  </w:style>
  <w:style w:type="paragraph" w:styleId="Nagwek">
    <w:name w:val="header"/>
    <w:basedOn w:val="Normalny"/>
    <w:link w:val="NagwekZnak"/>
    <w:uiPriority w:val="99"/>
    <w:unhideWhenUsed/>
    <w:rsid w:val="004D0F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0F60"/>
  </w:style>
  <w:style w:type="paragraph" w:styleId="Stopka">
    <w:name w:val="footer"/>
    <w:basedOn w:val="Normalny"/>
    <w:link w:val="StopkaZnak"/>
    <w:uiPriority w:val="99"/>
    <w:unhideWhenUsed/>
    <w:rsid w:val="004D0F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0F60"/>
  </w:style>
  <w:style w:type="paragraph" w:styleId="Poprawka">
    <w:name w:val="Revision"/>
    <w:hidden/>
    <w:uiPriority w:val="99"/>
    <w:semiHidden/>
    <w:rsid w:val="004D0F60"/>
    <w:pPr>
      <w:spacing w:after="0" w:line="240" w:lineRule="auto"/>
    </w:pPr>
  </w:style>
  <w:style w:type="paragraph" w:styleId="Tekstprzypisukocowego">
    <w:name w:val="endnote text"/>
    <w:basedOn w:val="Normalny"/>
    <w:link w:val="TekstprzypisukocowegoZnak"/>
    <w:uiPriority w:val="99"/>
    <w:semiHidden/>
    <w:unhideWhenUsed/>
    <w:rsid w:val="00DE1655"/>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DE1655"/>
    <w:rPr>
      <w:sz w:val="20"/>
    </w:rPr>
  </w:style>
  <w:style w:type="character" w:styleId="Odwoanieprzypisukocowego">
    <w:name w:val="endnote reference"/>
    <w:basedOn w:val="Domylnaczcionkaakapitu"/>
    <w:uiPriority w:val="99"/>
    <w:semiHidden/>
    <w:unhideWhenUsed/>
    <w:rsid w:val="00DE1655"/>
    <w:rPr>
      <w:vertAlign w:val="superscript"/>
    </w:rPr>
  </w:style>
  <w:style w:type="character" w:customStyle="1" w:styleId="ind">
    <w:name w:val="ind"/>
    <w:basedOn w:val="Domylnaczcionkaakapitu"/>
    <w:rsid w:val="00166E4F"/>
  </w:style>
  <w:style w:type="character" w:customStyle="1" w:styleId="Nagwek2Znak">
    <w:name w:val="Nagłówek 2 Znak"/>
    <w:aliases w:val="EDPB Heading 2 Znak"/>
    <w:basedOn w:val="Domylnaczcionkaakapitu"/>
    <w:link w:val="Nagwek2"/>
    <w:uiPriority w:val="9"/>
    <w:rsid w:val="00F50839"/>
    <w:rPr>
      <w:rFonts w:asciiTheme="majorHAnsi" w:eastAsiaTheme="majorEastAsia" w:hAnsiTheme="majorHAnsi" w:cstheme="majorBidi"/>
      <w:color w:val="2E74B5" w:themeColor="accent1" w:themeShade="BF"/>
      <w:sz w:val="26"/>
    </w:rPr>
  </w:style>
  <w:style w:type="character" w:customStyle="1" w:styleId="Nagwek3Znak">
    <w:name w:val="Nagłówek 3 Znak"/>
    <w:aliases w:val="EDPB Heading 3 Znak"/>
    <w:basedOn w:val="Domylnaczcionkaakapitu"/>
    <w:link w:val="Nagwek3"/>
    <w:uiPriority w:val="9"/>
    <w:rsid w:val="00F50839"/>
    <w:rPr>
      <w:rFonts w:asciiTheme="majorHAnsi" w:eastAsiaTheme="majorEastAsia" w:hAnsiTheme="majorHAnsi" w:cstheme="majorBidi"/>
      <w:color w:val="1F4D78" w:themeColor="accent1" w:themeShade="7F"/>
      <w:sz w:val="24"/>
    </w:rPr>
  </w:style>
  <w:style w:type="paragraph" w:styleId="Spistreci2">
    <w:name w:val="toc 2"/>
    <w:basedOn w:val="Normalny"/>
    <w:next w:val="Normalny"/>
    <w:autoRedefine/>
    <w:uiPriority w:val="39"/>
    <w:unhideWhenUsed/>
    <w:rsid w:val="00137278"/>
    <w:pPr>
      <w:spacing w:after="100"/>
      <w:ind w:left="220"/>
    </w:pPr>
  </w:style>
  <w:style w:type="paragraph" w:styleId="Spistreci3">
    <w:name w:val="toc 3"/>
    <w:basedOn w:val="Normalny"/>
    <w:next w:val="Normalny"/>
    <w:autoRedefine/>
    <w:uiPriority w:val="39"/>
    <w:unhideWhenUsed/>
    <w:rsid w:val="00137278"/>
    <w:pPr>
      <w:spacing w:after="100"/>
      <w:ind w:left="440"/>
    </w:pPr>
  </w:style>
  <w:style w:type="paragraph" w:customStyle="1" w:styleId="NumberedParagraph">
    <w:name w:val="Numbered Paragraph"/>
    <w:basedOn w:val="Normalny"/>
    <w:qFormat/>
    <w:rsid w:val="00EB6BB8"/>
    <w:pPr>
      <w:numPr>
        <w:numId w:val="1"/>
      </w:numPr>
      <w:tabs>
        <w:tab w:val="left" w:pos="0"/>
      </w:tabs>
      <w:ind w:left="0" w:hanging="567"/>
      <w:jc w:val="both"/>
    </w:pPr>
  </w:style>
  <w:style w:type="paragraph" w:customStyle="1" w:styleId="PreambuleTheEDPB">
    <w:name w:val="Preambule The EDPB ..."/>
    <w:basedOn w:val="Normalny"/>
    <w:next w:val="Normalny"/>
    <w:qFormat/>
    <w:rsid w:val="00C00E7A"/>
    <w:pPr>
      <w:spacing w:after="480"/>
      <w:jc w:val="both"/>
    </w:pPr>
    <w:rPr>
      <w:b/>
      <w:sz w:val="28"/>
    </w:rPr>
  </w:style>
  <w:style w:type="paragraph" w:customStyle="1" w:styleId="Preambulehasadopted">
    <w:name w:val="Preambule 'has adopted'"/>
    <w:basedOn w:val="Normalny"/>
    <w:next w:val="Normalny"/>
    <w:qFormat/>
    <w:rsid w:val="00C00E7A"/>
    <w:pPr>
      <w:spacing w:before="480" w:after="480"/>
      <w:jc w:val="both"/>
    </w:pPr>
    <w:rPr>
      <w:b/>
      <w:caps/>
      <w:sz w:val="24"/>
    </w:rPr>
  </w:style>
  <w:style w:type="character" w:customStyle="1" w:styleId="Nagwek4Znak">
    <w:name w:val="Nagłówek 4 Znak"/>
    <w:aliases w:val="EDPB Heading 4 Znak"/>
    <w:basedOn w:val="Domylnaczcionkaakapitu"/>
    <w:link w:val="Nagwek4"/>
    <w:uiPriority w:val="9"/>
    <w:rsid w:val="004F1C54"/>
    <w:rPr>
      <w:rFonts w:asciiTheme="majorHAnsi" w:eastAsiaTheme="majorEastAsia" w:hAnsiTheme="majorHAnsi" w:cstheme="majorBidi"/>
      <w:i/>
      <w:color w:val="1F4E79" w:themeColor="accent1" w:themeShade="80"/>
    </w:rPr>
  </w:style>
  <w:style w:type="character" w:customStyle="1" w:styleId="Nagwek5Znak">
    <w:name w:val="Nagłówek 5 Znak"/>
    <w:basedOn w:val="Domylnaczcionkaakapitu"/>
    <w:link w:val="Nagwek5"/>
    <w:uiPriority w:val="9"/>
    <w:semiHidden/>
    <w:rsid w:val="00F7002C"/>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F7002C"/>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F7002C"/>
    <w:rPr>
      <w:rFonts w:asciiTheme="majorHAnsi" w:eastAsiaTheme="majorEastAsia" w:hAnsiTheme="majorHAnsi" w:cstheme="majorBidi"/>
      <w:i/>
      <w:color w:val="1F4D78" w:themeColor="accent1" w:themeShade="7F"/>
    </w:rPr>
  </w:style>
  <w:style w:type="character" w:customStyle="1" w:styleId="Nagwek8Znak">
    <w:name w:val="Nagłówek 8 Znak"/>
    <w:basedOn w:val="Domylnaczcionkaakapitu"/>
    <w:link w:val="Nagwek8"/>
    <w:uiPriority w:val="9"/>
    <w:semiHidden/>
    <w:rsid w:val="00F7002C"/>
    <w:rPr>
      <w:rFonts w:asciiTheme="majorHAnsi" w:eastAsiaTheme="majorEastAsia" w:hAnsiTheme="majorHAnsi" w:cstheme="majorBidi"/>
      <w:color w:val="272727" w:themeColor="text1" w:themeTint="D8"/>
      <w:sz w:val="21"/>
    </w:rPr>
  </w:style>
  <w:style w:type="character" w:customStyle="1" w:styleId="Nagwek9Znak">
    <w:name w:val="Nagłówek 9 Znak"/>
    <w:basedOn w:val="Domylnaczcionkaakapitu"/>
    <w:link w:val="Nagwek9"/>
    <w:uiPriority w:val="9"/>
    <w:semiHidden/>
    <w:rsid w:val="00F7002C"/>
    <w:rPr>
      <w:rFonts w:asciiTheme="majorHAnsi" w:eastAsiaTheme="majorEastAsia" w:hAnsiTheme="majorHAnsi" w:cstheme="majorBidi"/>
      <w:i/>
      <w:color w:val="272727" w:themeColor="text1" w:themeTint="D8"/>
      <w:sz w:val="21"/>
    </w:rPr>
  </w:style>
  <w:style w:type="paragraph" w:customStyle="1" w:styleId="Annexheading1">
    <w:name w:val="Annex heading 1"/>
    <w:basedOn w:val="Nagwek1"/>
    <w:link w:val="Annexheading1Char"/>
    <w:qFormat/>
    <w:rsid w:val="001D260F"/>
    <w:pPr>
      <w:numPr>
        <w:numId w:val="0"/>
      </w:numPr>
    </w:pPr>
  </w:style>
  <w:style w:type="character" w:customStyle="1" w:styleId="Annexheading1Char">
    <w:name w:val="Annex heading 1 Char"/>
    <w:basedOn w:val="Nagwek1Znak"/>
    <w:link w:val="Annexheading1"/>
    <w:rsid w:val="001D260F"/>
    <w:rPr>
      <w:rFonts w:asciiTheme="majorHAnsi" w:eastAsiaTheme="majorEastAsia" w:hAnsiTheme="majorHAnsi" w:cstheme="majorBidi"/>
      <w:caps/>
      <w:color w:val="2E74B5" w:themeColor="accent1" w:themeShade="BF"/>
      <w:sz w:val="32"/>
    </w:rPr>
  </w:style>
  <w:style w:type="paragraph" w:styleId="Bezodstpw">
    <w:name w:val="No Spacing"/>
    <w:link w:val="BezodstpwZnak"/>
    <w:uiPriority w:val="1"/>
    <w:qFormat/>
    <w:rsid w:val="00AD4360"/>
    <w:pPr>
      <w:spacing w:after="0" w:line="240" w:lineRule="auto"/>
    </w:pPr>
    <w:rPr>
      <w:sz w:val="24"/>
    </w:rPr>
  </w:style>
  <w:style w:type="character" w:customStyle="1" w:styleId="BezodstpwZnak">
    <w:name w:val="Bez odstępów Znak"/>
    <w:basedOn w:val="Domylnaczcionkaakapitu"/>
    <w:link w:val="Bezodstpw"/>
    <w:uiPriority w:val="1"/>
    <w:rsid w:val="00AD4360"/>
    <w:rPr>
      <w:sz w:val="24"/>
    </w:rPr>
  </w:style>
  <w:style w:type="table" w:customStyle="1" w:styleId="TableGrid1">
    <w:name w:val="Table Grid1"/>
    <w:basedOn w:val="Standardowy"/>
    <w:next w:val="Tabela-Siatka"/>
    <w:uiPriority w:val="59"/>
    <w:rsid w:val="007432B1"/>
    <w:pPr>
      <w:spacing w:after="0" w:line="240"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ABox">
    <w:name w:val="TextInABox"/>
    <w:basedOn w:val="Normalny"/>
    <w:qFormat/>
    <w:rsid w:val="000670DC"/>
    <w:pPr>
      <w:pBdr>
        <w:top w:val="single" w:sz="4" w:space="1" w:color="auto"/>
        <w:left w:val="single" w:sz="4" w:space="4" w:color="auto"/>
        <w:bottom w:val="single" w:sz="4" w:space="1" w:color="auto"/>
        <w:right w:val="single" w:sz="4" w:space="4" w:color="auto"/>
      </w:pBdr>
      <w:jc w:val="both"/>
    </w:pPr>
  </w:style>
  <w:style w:type="paragraph" w:customStyle="1" w:styleId="Annexheading2">
    <w:name w:val="Annex heading 2"/>
    <w:basedOn w:val="Nagwek2"/>
    <w:next w:val="Normalny"/>
    <w:qFormat/>
    <w:rsid w:val="00FA17A9"/>
    <w:pPr>
      <w:numPr>
        <w:ilvl w:val="0"/>
        <w:numId w:val="0"/>
      </w:numPr>
      <w:spacing w:after="240"/>
    </w:pPr>
  </w:style>
  <w:style w:type="paragraph" w:customStyle="1" w:styleId="UnnumberedSectionHeader">
    <w:name w:val="UnnumberedSectionHeader"/>
    <w:basedOn w:val="Normalny"/>
    <w:link w:val="UnnumberedSectionHeaderChar"/>
    <w:qFormat/>
    <w:rsid w:val="00F50839"/>
    <w:pPr>
      <w:spacing w:before="240"/>
      <w:jc w:val="both"/>
    </w:pPr>
    <w:rPr>
      <w:i/>
      <w:u w:val="single"/>
    </w:rPr>
  </w:style>
  <w:style w:type="character" w:customStyle="1" w:styleId="UnnumberedSectionHeaderChar">
    <w:name w:val="UnnumberedSectionHeader Char"/>
    <w:basedOn w:val="Domylnaczcionkaakapitu"/>
    <w:link w:val="UnnumberedSectionHeader"/>
    <w:rsid w:val="00F50839"/>
    <w:rPr>
      <w:i/>
      <w:u w:val="single"/>
    </w:rPr>
  </w:style>
  <w:style w:type="paragraph" w:customStyle="1" w:styleId="UnnumberedEDPBParagraph">
    <w:name w:val="Unnumbered EDPB Paragraph"/>
    <w:basedOn w:val="Normalny"/>
    <w:qFormat/>
    <w:rsid w:val="00150BE4"/>
    <w:pPr>
      <w:tabs>
        <w:tab w:val="left" w:pos="0"/>
      </w:tabs>
      <w:jc w:val="both"/>
    </w:pPr>
  </w:style>
  <w:style w:type="paragraph" w:customStyle="1" w:styleId="EditorialNotesEDPB">
    <w:name w:val="EditorialNotesEDPB"/>
    <w:basedOn w:val="Normalny"/>
    <w:qFormat/>
    <w:rsid w:val="00197CE7"/>
    <w:rPr>
      <w:rFonts w:eastAsiaTheme="minorEastAsia"/>
      <w:i/>
      <w:color w:val="ED7D31" w:themeColor="accent2"/>
    </w:rPr>
  </w:style>
  <w:style w:type="paragraph" w:styleId="Tytu">
    <w:name w:val="Title"/>
    <w:basedOn w:val="Normalny"/>
    <w:next w:val="Normalny"/>
    <w:link w:val="TytuZnak"/>
    <w:uiPriority w:val="10"/>
    <w:qFormat/>
    <w:rsid w:val="008C2F8A"/>
    <w:pPr>
      <w:spacing w:after="0" w:line="240" w:lineRule="auto"/>
      <w:contextualSpacing/>
    </w:pPr>
    <w:rPr>
      <w:rFonts w:asciiTheme="majorHAnsi" w:eastAsiaTheme="majorEastAsia" w:hAnsiTheme="majorHAnsi" w:cstheme="majorBidi"/>
      <w:kern w:val="28"/>
      <w:sz w:val="56"/>
    </w:rPr>
  </w:style>
  <w:style w:type="character" w:customStyle="1" w:styleId="TytuZnak">
    <w:name w:val="Tytuł Znak"/>
    <w:basedOn w:val="Domylnaczcionkaakapitu"/>
    <w:link w:val="Tytu"/>
    <w:uiPriority w:val="10"/>
    <w:rsid w:val="008C2F8A"/>
    <w:rPr>
      <w:rFonts w:asciiTheme="majorHAnsi" w:eastAsiaTheme="majorEastAsia" w:hAnsiTheme="majorHAnsi" w:cstheme="majorBidi"/>
      <w:kern w:val="28"/>
      <w:sz w:val="56"/>
    </w:rPr>
  </w:style>
  <w:style w:type="paragraph" w:customStyle="1" w:styleId="StarSpacer">
    <w:name w:val="StarSpacer"/>
    <w:basedOn w:val="Akapitzlist"/>
    <w:link w:val="StarSpacerChar"/>
    <w:qFormat/>
    <w:rsid w:val="00685EC7"/>
    <w:pPr>
      <w:spacing w:before="240" w:after="240" w:line="259" w:lineRule="auto"/>
      <w:ind w:left="0"/>
      <w:jc w:val="center"/>
    </w:pPr>
  </w:style>
  <w:style w:type="character" w:customStyle="1" w:styleId="StarSpacerChar">
    <w:name w:val="StarSpacer Char"/>
    <w:basedOn w:val="Domylnaczcionkaakapitu"/>
    <w:link w:val="StarSpacer"/>
    <w:rsid w:val="00685EC7"/>
  </w:style>
  <w:style w:type="character" w:styleId="Pogrubienie">
    <w:name w:val="Strong"/>
    <w:basedOn w:val="Domylnaczcionkaakapitu"/>
    <w:uiPriority w:val="22"/>
    <w:qFormat/>
    <w:rsid w:val="00557257"/>
    <w:rPr>
      <w:b/>
    </w:rPr>
  </w:style>
  <w:style w:type="paragraph" w:customStyle="1" w:styleId="Default">
    <w:name w:val="Default"/>
    <w:rsid w:val="00F67C9E"/>
    <w:pPr>
      <w:autoSpaceDE w:val="0"/>
      <w:autoSpaceDN w:val="0"/>
      <w:adjustRightInd w:val="0"/>
      <w:spacing w:after="0" w:line="240" w:lineRule="auto"/>
    </w:pPr>
    <w:rPr>
      <w:rFonts w:ascii="Calibri" w:hAnsi="Calibri" w:cs="Calibri"/>
      <w:color w:val="000000"/>
      <w:sz w:val="24"/>
    </w:rPr>
  </w:style>
  <w:style w:type="paragraph" w:customStyle="1" w:styleId="EDBPtextinatable">
    <w:name w:val="EDBP text in a table"/>
    <w:basedOn w:val="Normalny"/>
    <w:link w:val="EDBPtextinatableChar"/>
    <w:qFormat/>
    <w:rsid w:val="00E34891"/>
    <w:pPr>
      <w:spacing w:after="0" w:line="276" w:lineRule="auto"/>
      <w:jc w:val="both"/>
    </w:pPr>
    <w:rPr>
      <w:rFonts w:ascii="Calibri" w:hAnsi="Calibri" w:cstheme="minorHAnsi"/>
    </w:rPr>
  </w:style>
  <w:style w:type="character" w:customStyle="1" w:styleId="EDBPtextinatableChar">
    <w:name w:val="EDBP text in a table Char"/>
    <w:basedOn w:val="Domylnaczcionkaakapitu"/>
    <w:link w:val="EDBPtextinatable"/>
    <w:rsid w:val="00E34891"/>
    <w:rPr>
      <w:rFonts w:ascii="Calibri" w:hAnsi="Calibri" w:cstheme="minorHAnsi"/>
    </w:rPr>
  </w:style>
  <w:style w:type="paragraph" w:customStyle="1" w:styleId="EditorialHeadingsEDPB">
    <w:name w:val="Editorial Headings EDPB"/>
    <w:basedOn w:val="Normalny"/>
    <w:next w:val="Normalny"/>
    <w:qFormat/>
    <w:rsid w:val="00C34619"/>
    <w:rPr>
      <w:rFonts w:asciiTheme="majorHAnsi" w:hAnsiTheme="majorHAnsi" w:cstheme="majorHAnsi"/>
      <w:b/>
      <w:color w:val="2E74B5" w:themeColor="accent1" w:themeShade="BF"/>
      <w:sz w:val="28"/>
    </w:rPr>
  </w:style>
  <w:style w:type="paragraph" w:styleId="NormalnyWeb">
    <w:name w:val="Normal (Web)"/>
    <w:basedOn w:val="Normalny"/>
    <w:uiPriority w:val="99"/>
    <w:unhideWhenUsed/>
    <w:rsid w:val="006D5C7B"/>
    <w:pPr>
      <w:spacing w:before="100" w:beforeAutospacing="1" w:after="100" w:afterAutospacing="1" w:line="240" w:lineRule="auto"/>
    </w:pPr>
    <w:rPr>
      <w:rFonts w:ascii="Times New Roman" w:eastAsia="Times New Roman" w:hAnsi="Times New Roman" w:cs="Times New Roman"/>
      <w:sz w:val="24"/>
    </w:rPr>
  </w:style>
  <w:style w:type="character" w:customStyle="1" w:styleId="Mencinsinresolver1">
    <w:name w:val="Mención sin resolver1"/>
    <w:basedOn w:val="Domylnaczcionkaakapitu"/>
    <w:uiPriority w:val="99"/>
    <w:semiHidden/>
    <w:unhideWhenUsed/>
    <w:rsid w:val="00D87496"/>
    <w:rPr>
      <w:color w:val="605E5C"/>
      <w:shd w:val="clear" w:color="auto" w:fill="E1DFDD"/>
    </w:rPr>
  </w:style>
  <w:style w:type="paragraph" w:customStyle="1" w:styleId="P68B1DB1-Akapitzlist1">
    <w:name w:val="P68B1DB1-Akapitzlist1"/>
    <w:basedOn w:val="Akapitzlist"/>
    <w:rPr>
      <w:rFonts w:ascii="Calibri" w:eastAsia="Calibri" w:hAnsi="Calibri" w:cs="Calibri"/>
    </w:rPr>
  </w:style>
  <w:style w:type="paragraph" w:customStyle="1" w:styleId="P68B1DB1-Normalny2">
    <w:name w:val="P68B1DB1-Normalny2"/>
    <w:basedOn w:val="Normalny"/>
    <w:rPr>
      <w:rFonts w:ascii="Calibri" w:eastAsia="Calibri" w:hAnsi="Calibri" w:cs="Calibri"/>
    </w:rPr>
  </w:style>
  <w:style w:type="paragraph" w:customStyle="1" w:styleId="P68B1DB1-Akapitzlist3">
    <w:name w:val="P68B1DB1-Akapitzlist3"/>
    <w:basedOn w:val="Akapitzlist"/>
    <w:rPr>
      <w:i/>
    </w:rPr>
  </w:style>
  <w:style w:type="paragraph" w:customStyle="1" w:styleId="P68B1DB1-Normalny4">
    <w:name w:val="P68B1DB1-Normalny4"/>
    <w:basedOn w:val="Normalny"/>
    <w:rPr>
      <w:i/>
    </w:rPr>
  </w:style>
  <w:style w:type="paragraph" w:customStyle="1" w:styleId="P68B1DB1-NormalnyWeb5">
    <w:name w:val="P68B1DB1-NormalnyWeb5"/>
    <w:basedOn w:val="NormalnyWeb"/>
    <w:rPr>
      <w:rFonts w:ascii="Calibri" w:eastAsiaTheme="minorEastAsia" w:hAnsi="Calibri" w:cs="Calibri"/>
      <w:sz w:val="22"/>
    </w:rPr>
  </w:style>
  <w:style w:type="paragraph" w:customStyle="1" w:styleId="P68B1DB1-NormalnyWeb6">
    <w:name w:val="P68B1DB1-NormalnyWeb6"/>
    <w:basedOn w:val="NormalnyWeb"/>
    <w:rPr>
      <w:rFonts w:ascii="Calibri" w:hAnsi="Calibri" w:cs="Calibri"/>
      <w:sz w:val="22"/>
    </w:rPr>
  </w:style>
  <w:style w:type="character" w:customStyle="1" w:styleId="Nierozpoznanawzmianka1">
    <w:name w:val="Nierozpoznana wzmianka1"/>
    <w:basedOn w:val="Domylnaczcionkaakapitu"/>
    <w:uiPriority w:val="99"/>
    <w:semiHidden/>
    <w:unhideWhenUsed/>
    <w:rsid w:val="00963115"/>
    <w:rPr>
      <w:color w:val="605E5C"/>
      <w:shd w:val="clear" w:color="auto" w:fill="E1DFDD"/>
    </w:rPr>
  </w:style>
  <w:style w:type="paragraph" w:customStyle="1" w:styleId="CoverPageTitle">
    <w:name w:val="CoverPageTitle"/>
    <w:basedOn w:val="Normalny"/>
    <w:qFormat/>
    <w:rsid w:val="004E5575"/>
    <w:pPr>
      <w:spacing w:after="480" w:line="276" w:lineRule="auto"/>
      <w:jc w:val="center"/>
    </w:pPr>
    <w:rPr>
      <w:rFonts w:ascii="Calibri" w:hAnsi="Calibri" w:cstheme="minorHAnsi"/>
      <w:b/>
      <w:color w:val="004494"/>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4690">
      <w:bodyDiv w:val="1"/>
      <w:marLeft w:val="0"/>
      <w:marRight w:val="0"/>
      <w:marTop w:val="0"/>
      <w:marBottom w:val="0"/>
      <w:divBdr>
        <w:top w:val="none" w:sz="0" w:space="0" w:color="auto"/>
        <w:left w:val="none" w:sz="0" w:space="0" w:color="auto"/>
        <w:bottom w:val="none" w:sz="0" w:space="0" w:color="auto"/>
        <w:right w:val="none" w:sz="0" w:space="0" w:color="auto"/>
      </w:divBdr>
    </w:div>
    <w:div w:id="248974277">
      <w:bodyDiv w:val="1"/>
      <w:marLeft w:val="0"/>
      <w:marRight w:val="0"/>
      <w:marTop w:val="0"/>
      <w:marBottom w:val="0"/>
      <w:divBdr>
        <w:top w:val="none" w:sz="0" w:space="0" w:color="auto"/>
        <w:left w:val="none" w:sz="0" w:space="0" w:color="auto"/>
        <w:bottom w:val="none" w:sz="0" w:space="0" w:color="auto"/>
        <w:right w:val="none" w:sz="0" w:space="0" w:color="auto"/>
      </w:divBdr>
    </w:div>
    <w:div w:id="287514514">
      <w:bodyDiv w:val="1"/>
      <w:marLeft w:val="0"/>
      <w:marRight w:val="0"/>
      <w:marTop w:val="0"/>
      <w:marBottom w:val="0"/>
      <w:divBdr>
        <w:top w:val="none" w:sz="0" w:space="0" w:color="auto"/>
        <w:left w:val="none" w:sz="0" w:space="0" w:color="auto"/>
        <w:bottom w:val="none" w:sz="0" w:space="0" w:color="auto"/>
        <w:right w:val="none" w:sz="0" w:space="0" w:color="auto"/>
      </w:divBdr>
    </w:div>
    <w:div w:id="322439912">
      <w:bodyDiv w:val="1"/>
      <w:marLeft w:val="0"/>
      <w:marRight w:val="0"/>
      <w:marTop w:val="0"/>
      <w:marBottom w:val="0"/>
      <w:divBdr>
        <w:top w:val="none" w:sz="0" w:space="0" w:color="auto"/>
        <w:left w:val="none" w:sz="0" w:space="0" w:color="auto"/>
        <w:bottom w:val="none" w:sz="0" w:space="0" w:color="auto"/>
        <w:right w:val="none" w:sz="0" w:space="0" w:color="auto"/>
      </w:divBdr>
    </w:div>
    <w:div w:id="491334513">
      <w:bodyDiv w:val="1"/>
      <w:marLeft w:val="0"/>
      <w:marRight w:val="0"/>
      <w:marTop w:val="0"/>
      <w:marBottom w:val="0"/>
      <w:divBdr>
        <w:top w:val="none" w:sz="0" w:space="0" w:color="auto"/>
        <w:left w:val="none" w:sz="0" w:space="0" w:color="auto"/>
        <w:bottom w:val="none" w:sz="0" w:space="0" w:color="auto"/>
        <w:right w:val="none" w:sz="0" w:space="0" w:color="auto"/>
      </w:divBdr>
    </w:div>
    <w:div w:id="605775829">
      <w:bodyDiv w:val="1"/>
      <w:marLeft w:val="0"/>
      <w:marRight w:val="0"/>
      <w:marTop w:val="0"/>
      <w:marBottom w:val="0"/>
      <w:divBdr>
        <w:top w:val="none" w:sz="0" w:space="0" w:color="auto"/>
        <w:left w:val="none" w:sz="0" w:space="0" w:color="auto"/>
        <w:bottom w:val="none" w:sz="0" w:space="0" w:color="auto"/>
        <w:right w:val="none" w:sz="0" w:space="0" w:color="auto"/>
      </w:divBdr>
    </w:div>
    <w:div w:id="712198116">
      <w:bodyDiv w:val="1"/>
      <w:marLeft w:val="0"/>
      <w:marRight w:val="0"/>
      <w:marTop w:val="0"/>
      <w:marBottom w:val="0"/>
      <w:divBdr>
        <w:top w:val="none" w:sz="0" w:space="0" w:color="auto"/>
        <w:left w:val="none" w:sz="0" w:space="0" w:color="auto"/>
        <w:bottom w:val="none" w:sz="0" w:space="0" w:color="auto"/>
        <w:right w:val="none" w:sz="0" w:space="0" w:color="auto"/>
      </w:divBdr>
    </w:div>
    <w:div w:id="758452847">
      <w:bodyDiv w:val="1"/>
      <w:marLeft w:val="0"/>
      <w:marRight w:val="0"/>
      <w:marTop w:val="0"/>
      <w:marBottom w:val="0"/>
      <w:divBdr>
        <w:top w:val="none" w:sz="0" w:space="0" w:color="auto"/>
        <w:left w:val="none" w:sz="0" w:space="0" w:color="auto"/>
        <w:bottom w:val="none" w:sz="0" w:space="0" w:color="auto"/>
        <w:right w:val="none" w:sz="0" w:space="0" w:color="auto"/>
      </w:divBdr>
    </w:div>
    <w:div w:id="913668034">
      <w:bodyDiv w:val="1"/>
      <w:marLeft w:val="0"/>
      <w:marRight w:val="0"/>
      <w:marTop w:val="0"/>
      <w:marBottom w:val="0"/>
      <w:divBdr>
        <w:top w:val="none" w:sz="0" w:space="0" w:color="auto"/>
        <w:left w:val="none" w:sz="0" w:space="0" w:color="auto"/>
        <w:bottom w:val="none" w:sz="0" w:space="0" w:color="auto"/>
        <w:right w:val="none" w:sz="0" w:space="0" w:color="auto"/>
      </w:divBdr>
    </w:div>
    <w:div w:id="1048794499">
      <w:bodyDiv w:val="1"/>
      <w:marLeft w:val="0"/>
      <w:marRight w:val="0"/>
      <w:marTop w:val="0"/>
      <w:marBottom w:val="0"/>
      <w:divBdr>
        <w:top w:val="none" w:sz="0" w:space="0" w:color="auto"/>
        <w:left w:val="none" w:sz="0" w:space="0" w:color="auto"/>
        <w:bottom w:val="none" w:sz="0" w:space="0" w:color="auto"/>
        <w:right w:val="none" w:sz="0" w:space="0" w:color="auto"/>
      </w:divBdr>
    </w:div>
    <w:div w:id="1303392660">
      <w:bodyDiv w:val="1"/>
      <w:marLeft w:val="0"/>
      <w:marRight w:val="0"/>
      <w:marTop w:val="0"/>
      <w:marBottom w:val="0"/>
      <w:divBdr>
        <w:top w:val="none" w:sz="0" w:space="0" w:color="auto"/>
        <w:left w:val="none" w:sz="0" w:space="0" w:color="auto"/>
        <w:bottom w:val="none" w:sz="0" w:space="0" w:color="auto"/>
        <w:right w:val="none" w:sz="0" w:space="0" w:color="auto"/>
      </w:divBdr>
    </w:div>
    <w:div w:id="1427994614">
      <w:bodyDiv w:val="1"/>
      <w:marLeft w:val="0"/>
      <w:marRight w:val="0"/>
      <w:marTop w:val="0"/>
      <w:marBottom w:val="0"/>
      <w:divBdr>
        <w:top w:val="none" w:sz="0" w:space="0" w:color="auto"/>
        <w:left w:val="none" w:sz="0" w:space="0" w:color="auto"/>
        <w:bottom w:val="none" w:sz="0" w:space="0" w:color="auto"/>
        <w:right w:val="none" w:sz="0" w:space="0" w:color="auto"/>
      </w:divBdr>
    </w:div>
    <w:div w:id="1609198910">
      <w:bodyDiv w:val="1"/>
      <w:marLeft w:val="0"/>
      <w:marRight w:val="0"/>
      <w:marTop w:val="0"/>
      <w:marBottom w:val="0"/>
      <w:divBdr>
        <w:top w:val="none" w:sz="0" w:space="0" w:color="auto"/>
        <w:left w:val="none" w:sz="0" w:space="0" w:color="auto"/>
        <w:bottom w:val="none" w:sz="0" w:space="0" w:color="auto"/>
        <w:right w:val="none" w:sz="0" w:space="0" w:color="auto"/>
      </w:divBdr>
    </w:div>
    <w:div w:id="1662002926">
      <w:bodyDiv w:val="1"/>
      <w:marLeft w:val="0"/>
      <w:marRight w:val="0"/>
      <w:marTop w:val="0"/>
      <w:marBottom w:val="0"/>
      <w:divBdr>
        <w:top w:val="none" w:sz="0" w:space="0" w:color="auto"/>
        <w:left w:val="none" w:sz="0" w:space="0" w:color="auto"/>
        <w:bottom w:val="none" w:sz="0" w:space="0" w:color="auto"/>
        <w:right w:val="none" w:sz="0" w:space="0" w:color="auto"/>
      </w:divBdr>
    </w:div>
    <w:div w:id="1952518193">
      <w:bodyDiv w:val="1"/>
      <w:marLeft w:val="0"/>
      <w:marRight w:val="0"/>
      <w:marTop w:val="0"/>
      <w:marBottom w:val="0"/>
      <w:divBdr>
        <w:top w:val="none" w:sz="0" w:space="0" w:color="auto"/>
        <w:left w:val="none" w:sz="0" w:space="0" w:color="auto"/>
        <w:bottom w:val="none" w:sz="0" w:space="0" w:color="auto"/>
        <w:right w:val="none" w:sz="0" w:space="0" w:color="auto"/>
      </w:divBdr>
    </w:div>
    <w:div w:id="201387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newsroom/article29/items/611236/en" TargetMode="External"/><Relationship Id="rId13" Type="http://schemas.openxmlformats.org/officeDocument/2006/relationships/hyperlink" Target="https://www.edps.europa.eu/sites/default/files/publication/19-02-25_proportionality_guidelines_en.pdf" TargetMode="External"/><Relationship Id="rId18" Type="http://schemas.openxmlformats.org/officeDocument/2006/relationships/hyperlink" Target="https://www.edpb.europa.eu/system/files/2023-09/wp260rev01_en.pdf" TargetMode="External"/><Relationship Id="rId3" Type="http://schemas.openxmlformats.org/officeDocument/2006/relationships/hyperlink" Target="https://better-internet-for-kids.europa.eu/en/age-assurance-guide-oldest" TargetMode="External"/><Relationship Id="rId21" Type="http://schemas.openxmlformats.org/officeDocument/2006/relationships/hyperlink" Target="https://www.edpb.europa.eu/sites/default/files/files/file1/edpb_guidelines_201904_dataprotection_by_design_and_by_default_v2.0_en.pdf" TargetMode="External"/><Relationship Id="rId7" Type="http://schemas.openxmlformats.org/officeDocument/2006/relationships/hyperlink" Target="https://www2.ohchr.org/English/bodies/crc/docs/GC/CRC_C_GC_14_ENG.pdf" TargetMode="External"/><Relationship Id="rId12" Type="http://schemas.openxmlformats.org/officeDocument/2006/relationships/hyperlink" Target="https://www.edpb.europa.eu/sites/default/files/files/file1/edpb_guidelines_201904_dataprotection_by_design_and_by_default_v2.0_en.pdf" TargetMode="External"/><Relationship Id="rId17" Type="http://schemas.openxmlformats.org/officeDocument/2006/relationships/hyperlink" Target="https://www.edpb.europa.eu/system/files/2023-09/edpb_bindingdecision_202302_ie_sa_ttl_children_en.pdf" TargetMode="External"/><Relationship Id="rId2" Type="http://schemas.openxmlformats.org/officeDocument/2006/relationships/hyperlink" Target="https://eur-lex.europa.eu/eli/reg/2022/2065/oj." TargetMode="External"/><Relationship Id="rId16" Type="http://schemas.openxmlformats.org/officeDocument/2006/relationships/hyperlink" Target="https://www.edps.europa.eu/sites/default/files/publication/19-02-25_proportionality_guidelines_en.pdf" TargetMode="External"/><Relationship Id="rId20" Type="http://schemas.openxmlformats.org/officeDocument/2006/relationships/hyperlink" Target="https://ec.europa.eu/newsroom/article29/items/612053/en" TargetMode="External"/><Relationship Id="rId1" Type="http://schemas.openxmlformats.org/officeDocument/2006/relationships/hyperlink" Target="https://eur-lex.europa.eu/eli/dir/2018/1808/oj" TargetMode="External"/><Relationship Id="rId6" Type="http://schemas.openxmlformats.org/officeDocument/2006/relationships/hyperlink" Target="https://www.greens-efa.eu/en/article/document/trustworthy-age-assurance" TargetMode="External"/><Relationship Id="rId11" Type="http://schemas.openxmlformats.org/officeDocument/2006/relationships/hyperlink" Target="https://www.edpb.europa.eu/system/files/2023-02/edpb_03-2022_guidelines_on_deceptive_design_patterns_in_social_media_platform_interfaces_v2_en_0.pdf" TargetMode="External"/><Relationship Id="rId5" Type="http://schemas.openxmlformats.org/officeDocument/2006/relationships/hyperlink" Target="https://www.aepd.es/guides/technical-note-safe-internet-by-default-for-children.pdf" TargetMode="External"/><Relationship Id="rId15" Type="http://schemas.openxmlformats.org/officeDocument/2006/relationships/hyperlink" Target="https://www.edps.europa.eu/sites/default/files/publication/17-06-01_necessity_toolkit_final_en.pdf" TargetMode="External"/><Relationship Id="rId10" Type="http://schemas.openxmlformats.org/officeDocument/2006/relationships/hyperlink" Target="https://www.edpb.europa.eu/system/files/2024-04/edpb_opinion_202408_consentorpay_en.pdf" TargetMode="External"/><Relationship Id="rId19" Type="http://schemas.openxmlformats.org/officeDocument/2006/relationships/hyperlink" Target="https://eur-lex.europa.eu/legal-content/EN/ALL/?uri=CELEX%3A62021CA0634" TargetMode="External"/><Relationship Id="rId4" Type="http://schemas.openxmlformats.org/officeDocument/2006/relationships/hyperlink" Target="https://www.esafety.gov.au/sites/default/files/2023-08/Age-verification-background-report.pdf?v=1731644498261" TargetMode="External"/><Relationship Id="rId9" Type="http://schemas.openxmlformats.org/officeDocument/2006/relationships/hyperlink" Target="https://www.edps.europa.eu/sites/default/files/publication/19-02-25_proportionality_guidelines_en.pdf" TargetMode="External"/><Relationship Id="rId14" Type="http://schemas.openxmlformats.org/officeDocument/2006/relationships/hyperlink" Target="https://www.edps.europa.eu/sites/default/files/publication/17-06-01_necessity_toolkit_final_en.pdf" TargetMode="External"/><Relationship Id="rId22" Type="http://schemas.openxmlformats.org/officeDocument/2006/relationships/hyperlink" Target="https://www.edpb.europa.eu/system/files/2023-04/edpb_guidelines_202209_personal_data_breach_notification_v2.0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eltran\Downloads\EDPB_CommonBody_2023092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AABF9-CE2C-447D-B8B5-F4DBFCCE2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EDPB_CommonBody_20230927</Template>
  <TotalTime>2</TotalTime>
  <Pages>11</Pages>
  <Words>4133</Words>
  <Characters>24799</Characters>
  <Application>Microsoft Office Word</Application>
  <DocSecurity>0</DocSecurity>
  <Lines>206</Lines>
  <Paragraphs>57</Paragraphs>
  <ScaleCrop>false</ScaleCrop>
  <HeadingPairs>
    <vt:vector size="8" baseType="variant">
      <vt:variant>
        <vt:lpstr>Tytuł</vt:lpstr>
      </vt:variant>
      <vt:variant>
        <vt:i4>1</vt:i4>
      </vt:variant>
      <vt:variant>
        <vt:lpstr>Title</vt:lpstr>
      </vt:variant>
      <vt:variant>
        <vt:i4>1</vt:i4>
      </vt:variant>
      <vt:variant>
        <vt:lpstr>Título</vt:lpstr>
      </vt:variant>
      <vt:variant>
        <vt:i4>1</vt:i4>
      </vt:variant>
      <vt:variant>
        <vt:lpstr>Titre</vt:lpstr>
      </vt:variant>
      <vt:variant>
        <vt:i4>1</vt:i4>
      </vt:variant>
    </vt:vector>
  </HeadingPairs>
  <TitlesOfParts>
    <vt:vector size="4" baseType="lpstr">
      <vt:lpstr/>
      <vt:lpstr/>
      <vt:lpstr/>
      <vt:lpstr/>
    </vt:vector>
  </TitlesOfParts>
  <Company>CNIL</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Beltrán Pardo</dc:creator>
  <cp:keywords/>
  <cp:lastModifiedBy>Karolina Jastalska</cp:lastModifiedBy>
  <cp:revision>2</cp:revision>
  <cp:lastPrinted>2025-02-12T12:04:00Z</cp:lastPrinted>
  <dcterms:created xsi:type="dcterms:W3CDTF">2025-04-02T13:48:00Z</dcterms:created>
  <dcterms:modified xsi:type="dcterms:W3CDTF">2025-04-02T13:48:00Z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